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17" w:rsidRDefault="00DD4C56">
      <w:pPr>
        <w:pStyle w:val="Adresse"/>
      </w:pPr>
      <w:r>
        <w:t>Trafikstyrelsen</w:t>
      </w:r>
    </w:p>
    <w:p w:rsidR="00C30B17" w:rsidRDefault="00D03D82">
      <w:pPr>
        <w:pStyle w:val="Adresse"/>
      </w:pPr>
      <w:r>
        <w:t>Att.: Je</w:t>
      </w:r>
      <w:r w:rsidR="00C30B17">
        <w:t>s</w:t>
      </w:r>
      <w:r>
        <w:t>per</w:t>
      </w:r>
      <w:r w:rsidR="00C30B17">
        <w:t xml:space="preserve"> </w:t>
      </w:r>
      <w:proofErr w:type="spellStart"/>
      <w:r w:rsidR="00C30B17">
        <w:t>Rosenkrantz</w:t>
      </w:r>
      <w:proofErr w:type="spellEnd"/>
      <w:r w:rsidR="00C30B17">
        <w:t xml:space="preserve"> Andersen</w:t>
      </w:r>
    </w:p>
    <w:p w:rsidR="00DD4C56" w:rsidRDefault="00DD4C56">
      <w:pPr>
        <w:pStyle w:val="Adresse"/>
      </w:pPr>
      <w:r>
        <w:t>Gammel Mønt 4</w:t>
      </w:r>
    </w:p>
    <w:p w:rsidR="00DD4C56" w:rsidRDefault="00DD4C56">
      <w:pPr>
        <w:pStyle w:val="Adresse"/>
      </w:pPr>
      <w:r>
        <w:t>1117 København K</w:t>
      </w:r>
    </w:p>
    <w:p w:rsidR="00922B8E" w:rsidRDefault="00492CD3">
      <w:pPr>
        <w:pStyle w:val="Adresse"/>
      </w:pPr>
      <w:r>
        <w:fldChar w:fldCharType="begin"/>
      </w:r>
      <w:r w:rsidR="00922B8E">
        <w:instrText xml:space="preserve">  </w:instrText>
      </w:r>
      <w:r>
        <w:fldChar w:fldCharType="separate"/>
      </w:r>
      <w:r>
        <w:t/>
      </w:r>
      <w:r>
        <w:fldChar w:fldCharType="end"/>
      </w:r>
    </w:p>
    <w:p w:rsidR="00922B8E" w:rsidRDefault="00F667C0">
      <w:pPr>
        <w:pStyle w:val="Adresse"/>
      </w:pPr>
      <w:r>
        <w:t>E-mail: jro@fstyr.dk</w:t>
      </w:r>
    </w:p>
    <w:p w:rsidR="00922B8E" w:rsidRDefault="00922B8E">
      <w:pPr>
        <w:pStyle w:val="Adresse"/>
      </w:pPr>
      <w:bookmarkStart w:id="0" w:name="AdresseFelt"/>
      <w:bookmarkEnd w:id="0"/>
    </w:p>
    <w:p w:rsidR="00922B8E" w:rsidRDefault="00922B8E">
      <w:pPr>
        <w:pStyle w:val="Adresse"/>
      </w:pPr>
      <w:bookmarkStart w:id="1" w:name="Adresse2Felt"/>
      <w:bookmarkEnd w:id="1"/>
    </w:p>
    <w:p w:rsidR="00922B8E" w:rsidRDefault="00922B8E">
      <w:pPr>
        <w:pStyle w:val="Adresse"/>
      </w:pPr>
      <w:bookmarkStart w:id="2" w:name="PostNrOgByFelt"/>
      <w:bookmarkEnd w:id="2"/>
    </w:p>
    <w:p w:rsidR="00922B8E" w:rsidRDefault="00922B8E">
      <w:pPr>
        <w:pStyle w:val="Brevnormal"/>
      </w:pPr>
    </w:p>
    <w:p w:rsidR="00922B8E" w:rsidRDefault="00922B8E">
      <w:pPr>
        <w:pStyle w:val="Brevnormal"/>
      </w:pPr>
    </w:p>
    <w:p w:rsidR="00922B8E" w:rsidRDefault="00922B8E">
      <w:pPr>
        <w:pStyle w:val="Brevnormal"/>
      </w:pPr>
    </w:p>
    <w:p w:rsidR="00922B8E" w:rsidRDefault="00922B8E">
      <w:pPr>
        <w:pStyle w:val="Brevnormal"/>
      </w:pPr>
    </w:p>
    <w:p w:rsidR="00922B8E" w:rsidRDefault="00922B8E">
      <w:pPr>
        <w:pStyle w:val="Brevnormal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1843"/>
        <w:gridCol w:w="3119"/>
        <w:gridCol w:w="1842"/>
      </w:tblGrid>
      <w:tr w:rsidR="00922B8E">
        <w:tc>
          <w:tcPr>
            <w:tcW w:w="2905" w:type="dxa"/>
          </w:tcPr>
          <w:p w:rsidR="00922B8E" w:rsidRDefault="00922B8E">
            <w:pPr>
              <w:pStyle w:val="Information"/>
            </w:pPr>
            <w:bookmarkStart w:id="3" w:name="DeresReferenceTekst"/>
            <w:r>
              <w:t>Deres ref.</w:t>
            </w:r>
            <w:bookmarkEnd w:id="3"/>
            <w:r>
              <w:t>:</w:t>
            </w:r>
            <w:r w:rsidR="00F667C0">
              <w:t xml:space="preserve"> </w:t>
            </w:r>
            <w:proofErr w:type="spellStart"/>
            <w:r w:rsidR="00F667C0">
              <w:t>jro</w:t>
            </w:r>
            <w:proofErr w:type="spellEnd"/>
            <w:r>
              <w:t xml:space="preserve"> </w:t>
            </w:r>
            <w:bookmarkStart w:id="4" w:name="DeresReferenceFelt"/>
            <w:bookmarkEnd w:id="4"/>
          </w:p>
        </w:tc>
        <w:tc>
          <w:tcPr>
            <w:tcW w:w="1843" w:type="dxa"/>
          </w:tcPr>
          <w:p w:rsidR="00922B8E" w:rsidRDefault="00922B8E" w:rsidP="00DD4C56">
            <w:pPr>
              <w:pStyle w:val="Information"/>
            </w:pPr>
            <w:bookmarkStart w:id="5" w:name="VorReferenceTekst"/>
            <w:r>
              <w:t>Vor ref.</w:t>
            </w:r>
            <w:bookmarkEnd w:id="5"/>
            <w:r>
              <w:t xml:space="preserve">: </w:t>
            </w:r>
            <w:proofErr w:type="spellStart"/>
            <w:r w:rsidR="00DD4C56">
              <w:t>maf</w:t>
            </w:r>
            <w:proofErr w:type="spellEnd"/>
          </w:p>
        </w:tc>
        <w:tc>
          <w:tcPr>
            <w:tcW w:w="3119" w:type="dxa"/>
          </w:tcPr>
          <w:p w:rsidR="00922B8E" w:rsidRDefault="00922B8E">
            <w:pPr>
              <w:pStyle w:val="Information"/>
            </w:pPr>
            <w:bookmarkStart w:id="6" w:name="JournalNrTekst"/>
            <w:r>
              <w:t>Jour. nr.</w:t>
            </w:r>
            <w:bookmarkEnd w:id="6"/>
            <w:r>
              <w:t>:</w:t>
            </w:r>
            <w:bookmarkStart w:id="7" w:name="JournalNrFelt"/>
            <w:bookmarkEnd w:id="7"/>
          </w:p>
        </w:tc>
        <w:tc>
          <w:tcPr>
            <w:tcW w:w="1842" w:type="dxa"/>
          </w:tcPr>
          <w:p w:rsidR="00922B8E" w:rsidRDefault="00922B8E">
            <w:pPr>
              <w:pStyle w:val="Information"/>
              <w:jc w:val="right"/>
            </w:pPr>
            <w:bookmarkStart w:id="8" w:name="DatoTekst"/>
            <w:r>
              <w:t>Dato</w:t>
            </w:r>
            <w:bookmarkEnd w:id="8"/>
            <w:r>
              <w:t xml:space="preserve">: </w:t>
            </w:r>
            <w:bookmarkStart w:id="9" w:name="DatoFelt"/>
            <w:r w:rsidR="00492CD3">
              <w:fldChar w:fldCharType="begin"/>
            </w:r>
            <w:r>
              <w:instrText xml:space="preserve"> TIME \@ "d.MM.yyyy" </w:instrText>
            </w:r>
            <w:r w:rsidR="00492CD3">
              <w:fldChar w:fldCharType="separate"/>
            </w:r>
            <w:r w:rsidR="00D03D82">
              <w:rPr>
                <w:noProof/>
              </w:rPr>
              <w:t>31.08.2010</w:t>
            </w:r>
            <w:r w:rsidR="00492CD3">
              <w:fldChar w:fldCharType="end"/>
            </w:r>
            <w:bookmarkEnd w:id="9"/>
          </w:p>
        </w:tc>
      </w:tr>
    </w:tbl>
    <w:p w:rsidR="00922B8E" w:rsidRDefault="00922B8E">
      <w:pPr>
        <w:pStyle w:val="Brevnormal"/>
      </w:pPr>
    </w:p>
    <w:p w:rsidR="00922B8E" w:rsidRDefault="00922B8E">
      <w:pPr>
        <w:pStyle w:val="Brevnormal"/>
      </w:pPr>
    </w:p>
    <w:p w:rsidR="00DD4C56" w:rsidRPr="0099622D" w:rsidRDefault="00DD4C56" w:rsidP="00DD4C56">
      <w:pPr>
        <w:autoSpaceDE w:val="0"/>
        <w:autoSpaceDN w:val="0"/>
        <w:adjustRightInd w:val="0"/>
        <w:rPr>
          <w:rFonts w:ascii="Verdana" w:hAnsi="Verdana" w:cs="TTE29092B0t00"/>
          <w:b/>
          <w:sz w:val="19"/>
          <w:szCs w:val="19"/>
        </w:rPr>
      </w:pPr>
      <w:r w:rsidRPr="0099622D">
        <w:rPr>
          <w:rFonts w:ascii="Verdana" w:hAnsi="Verdana" w:cs="TTE29092B0t00"/>
          <w:b/>
          <w:sz w:val="19"/>
          <w:szCs w:val="19"/>
        </w:rPr>
        <w:t xml:space="preserve">Vedr. høring om forslag til </w:t>
      </w:r>
      <w:r>
        <w:rPr>
          <w:rFonts w:ascii="Verdana" w:hAnsi="Verdana" w:cs="TTE29092B0t00"/>
          <w:b/>
          <w:sz w:val="19"/>
          <w:szCs w:val="19"/>
        </w:rPr>
        <w:t xml:space="preserve">forebyggelse af højresvingsulykker - </w:t>
      </w:r>
      <w:proofErr w:type="spellStart"/>
      <w:r>
        <w:rPr>
          <w:rFonts w:ascii="Verdana" w:hAnsi="Verdana" w:cs="TTE29092B0t00"/>
          <w:b/>
          <w:sz w:val="19"/>
          <w:szCs w:val="19"/>
        </w:rPr>
        <w:t>sagsnr</w:t>
      </w:r>
      <w:proofErr w:type="spellEnd"/>
      <w:r>
        <w:rPr>
          <w:rFonts w:ascii="Verdana" w:hAnsi="Verdana" w:cs="TTE29092B0t00"/>
          <w:b/>
          <w:sz w:val="19"/>
          <w:szCs w:val="19"/>
        </w:rPr>
        <w:t>. FS318-000833</w:t>
      </w:r>
    </w:p>
    <w:p w:rsidR="00DD4C56" w:rsidRPr="0099622D" w:rsidRDefault="00DD4C56" w:rsidP="00DD4C56">
      <w:pPr>
        <w:autoSpaceDE w:val="0"/>
        <w:autoSpaceDN w:val="0"/>
        <w:adjustRightInd w:val="0"/>
        <w:rPr>
          <w:rFonts w:ascii="Verdana" w:hAnsi="Verdana" w:cs="TTE294CA20t00"/>
          <w:sz w:val="19"/>
          <w:szCs w:val="19"/>
        </w:rPr>
      </w:pPr>
    </w:p>
    <w:p w:rsidR="00DD4C56" w:rsidRDefault="00DD4C56" w:rsidP="00DD4C56">
      <w:pPr>
        <w:autoSpaceDE w:val="0"/>
        <w:autoSpaceDN w:val="0"/>
        <w:adjustRightInd w:val="0"/>
        <w:rPr>
          <w:rFonts w:ascii="Verdana" w:hAnsi="Verdana" w:cs="TTE29092B0t00"/>
          <w:sz w:val="19"/>
          <w:szCs w:val="19"/>
        </w:rPr>
      </w:pPr>
      <w:r w:rsidRPr="0099622D">
        <w:rPr>
          <w:rFonts w:ascii="Verdana" w:hAnsi="Verdana" w:cs="TTE294CA20t00"/>
          <w:sz w:val="19"/>
          <w:szCs w:val="19"/>
        </w:rPr>
        <w:t xml:space="preserve">ITD har modtaget </w:t>
      </w:r>
      <w:r w:rsidR="003F130E">
        <w:rPr>
          <w:rFonts w:ascii="Verdana" w:hAnsi="Verdana" w:cs="TTE294CA20t00"/>
          <w:sz w:val="19"/>
          <w:szCs w:val="19"/>
        </w:rPr>
        <w:t xml:space="preserve">Trafikstyrelsens </w:t>
      </w:r>
      <w:r w:rsidRPr="0099622D">
        <w:rPr>
          <w:rFonts w:ascii="Verdana" w:hAnsi="Verdana" w:cs="TTE294CA20t00"/>
          <w:sz w:val="19"/>
          <w:szCs w:val="19"/>
        </w:rPr>
        <w:t>hørings</w:t>
      </w:r>
      <w:r w:rsidR="003C69DF">
        <w:rPr>
          <w:rFonts w:ascii="Verdana" w:hAnsi="Verdana" w:cs="TTE294CA20t00"/>
          <w:sz w:val="19"/>
          <w:szCs w:val="19"/>
        </w:rPr>
        <w:t>brev</w:t>
      </w:r>
      <w:r w:rsidRPr="0099622D">
        <w:rPr>
          <w:rFonts w:ascii="Verdana" w:hAnsi="Verdana" w:cs="TTE294CA20t00"/>
          <w:sz w:val="19"/>
          <w:szCs w:val="19"/>
        </w:rPr>
        <w:t xml:space="preserve"> af </w:t>
      </w:r>
      <w:r>
        <w:rPr>
          <w:rFonts w:ascii="Verdana" w:hAnsi="Verdana" w:cs="TTE294CA20t00"/>
          <w:sz w:val="19"/>
          <w:szCs w:val="19"/>
        </w:rPr>
        <w:t>29</w:t>
      </w:r>
      <w:r w:rsidRPr="0099622D">
        <w:rPr>
          <w:rFonts w:ascii="Verdana" w:hAnsi="Verdana" w:cs="TTE294CA20t00"/>
          <w:sz w:val="19"/>
          <w:szCs w:val="19"/>
        </w:rPr>
        <w:t>.</w:t>
      </w:r>
      <w:r>
        <w:rPr>
          <w:rFonts w:ascii="Verdana" w:hAnsi="Verdana" w:cs="TTE294CA20t00"/>
          <w:sz w:val="19"/>
          <w:szCs w:val="19"/>
        </w:rPr>
        <w:t xml:space="preserve"> juli 2010</w:t>
      </w:r>
      <w:r w:rsidRPr="0099622D">
        <w:rPr>
          <w:rFonts w:ascii="Verdana" w:hAnsi="Verdana" w:cs="TTE294CA20t00"/>
          <w:sz w:val="19"/>
          <w:szCs w:val="19"/>
        </w:rPr>
        <w:t xml:space="preserve">, der omhandler forslag til </w:t>
      </w:r>
      <w:r>
        <w:rPr>
          <w:rFonts w:ascii="Verdana" w:hAnsi="Verdana" w:cs="TTE29092B0t00"/>
          <w:sz w:val="19"/>
          <w:szCs w:val="19"/>
        </w:rPr>
        <w:t>forebyggelse af højresvingsulykker</w:t>
      </w:r>
      <w:r w:rsidRPr="0099622D">
        <w:rPr>
          <w:rFonts w:ascii="Verdana" w:hAnsi="Verdana" w:cs="TTE29092B0t00"/>
          <w:sz w:val="19"/>
          <w:szCs w:val="19"/>
        </w:rPr>
        <w:t>. ITD takker for invitatio</w:t>
      </w:r>
      <w:r w:rsidR="00D341C8">
        <w:rPr>
          <w:rFonts w:ascii="Verdana" w:hAnsi="Verdana" w:cs="TTE29092B0t00"/>
          <w:sz w:val="19"/>
          <w:szCs w:val="19"/>
        </w:rPr>
        <w:t>nen til at kommentere forslaget</w:t>
      </w:r>
      <w:r w:rsidR="0003064B">
        <w:rPr>
          <w:rFonts w:ascii="Verdana" w:hAnsi="Verdana" w:cs="TTE29092B0t00"/>
          <w:sz w:val="19"/>
          <w:szCs w:val="19"/>
        </w:rPr>
        <w:t>.</w:t>
      </w:r>
    </w:p>
    <w:p w:rsidR="00BC1642" w:rsidRDefault="00BC1642" w:rsidP="00DD4C56">
      <w:pPr>
        <w:autoSpaceDE w:val="0"/>
        <w:autoSpaceDN w:val="0"/>
        <w:adjustRightInd w:val="0"/>
        <w:rPr>
          <w:rFonts w:ascii="Verdana" w:hAnsi="Verdana" w:cs="TTE29092B0t00"/>
          <w:sz w:val="19"/>
          <w:szCs w:val="19"/>
        </w:rPr>
      </w:pPr>
    </w:p>
    <w:p w:rsidR="00BC1642" w:rsidRDefault="00AD10F8" w:rsidP="00DD4C56">
      <w:pPr>
        <w:autoSpaceDE w:val="0"/>
        <w:autoSpaceDN w:val="0"/>
        <w:adjustRightInd w:val="0"/>
        <w:rPr>
          <w:rFonts w:ascii="Verdana" w:hAnsi="Verdana" w:cs="TTE29092B0t00"/>
          <w:sz w:val="19"/>
          <w:szCs w:val="19"/>
        </w:rPr>
      </w:pPr>
      <w:r>
        <w:rPr>
          <w:rFonts w:ascii="Verdana" w:hAnsi="Verdana" w:cs="TTE29092B0t00"/>
          <w:sz w:val="19"/>
          <w:szCs w:val="19"/>
        </w:rPr>
        <w:t>A</w:t>
      </w:r>
      <w:r w:rsidR="00345AAB">
        <w:rPr>
          <w:rFonts w:ascii="Verdana" w:hAnsi="Verdana" w:cs="TTE29092B0t00"/>
          <w:sz w:val="19"/>
          <w:szCs w:val="19"/>
        </w:rPr>
        <w:t>ntallet og</w:t>
      </w:r>
      <w:r w:rsidR="008E46E2">
        <w:rPr>
          <w:rFonts w:ascii="Verdana" w:hAnsi="Verdana" w:cs="TTE29092B0t00"/>
          <w:sz w:val="19"/>
          <w:szCs w:val="19"/>
        </w:rPr>
        <w:t xml:space="preserve"> omfanget af højresvingsulykker, der involverer lastbiler og bløde trafikanter, </w:t>
      </w:r>
      <w:r w:rsidR="00F667C0">
        <w:rPr>
          <w:rFonts w:ascii="Verdana" w:hAnsi="Verdana" w:cs="TTE29092B0t00"/>
          <w:sz w:val="19"/>
          <w:szCs w:val="19"/>
        </w:rPr>
        <w:t>har</w:t>
      </w:r>
      <w:r w:rsidR="00D81012">
        <w:rPr>
          <w:rFonts w:ascii="Verdana" w:hAnsi="Verdana" w:cs="TTE29092B0t00"/>
          <w:sz w:val="19"/>
          <w:szCs w:val="19"/>
        </w:rPr>
        <w:t xml:space="preserve"> </w:t>
      </w:r>
      <w:r w:rsidR="003B5944">
        <w:rPr>
          <w:rFonts w:ascii="Verdana" w:hAnsi="Verdana" w:cs="TTE29092B0t00"/>
          <w:sz w:val="19"/>
          <w:szCs w:val="19"/>
        </w:rPr>
        <w:t xml:space="preserve">desværre </w:t>
      </w:r>
      <w:r w:rsidR="000A34D8">
        <w:rPr>
          <w:rFonts w:ascii="Verdana" w:hAnsi="Verdana" w:cs="TTE29092B0t00"/>
          <w:sz w:val="19"/>
          <w:szCs w:val="19"/>
        </w:rPr>
        <w:t>vist</w:t>
      </w:r>
      <w:r w:rsidR="003B5944">
        <w:rPr>
          <w:rFonts w:ascii="Verdana" w:hAnsi="Verdana" w:cs="TTE29092B0t00"/>
          <w:sz w:val="19"/>
          <w:szCs w:val="19"/>
        </w:rPr>
        <w:t xml:space="preserve">, at en </w:t>
      </w:r>
      <w:r w:rsidR="008E46E2">
        <w:rPr>
          <w:rFonts w:ascii="Verdana" w:hAnsi="Verdana" w:cs="TTE29092B0t00"/>
          <w:sz w:val="19"/>
          <w:szCs w:val="19"/>
        </w:rPr>
        <w:t xml:space="preserve">seriøs </w:t>
      </w:r>
      <w:r w:rsidR="003B5944">
        <w:rPr>
          <w:rFonts w:ascii="Verdana" w:hAnsi="Verdana" w:cs="TTE29092B0t00"/>
          <w:sz w:val="19"/>
          <w:szCs w:val="19"/>
        </w:rPr>
        <w:t>forebyggelse</w:t>
      </w:r>
      <w:r w:rsidR="008E46E2">
        <w:rPr>
          <w:rFonts w:ascii="Verdana" w:hAnsi="Verdana" w:cs="TTE29092B0t00"/>
          <w:sz w:val="19"/>
          <w:szCs w:val="19"/>
        </w:rPr>
        <w:t>sindsats</w:t>
      </w:r>
      <w:r w:rsidR="003B5944">
        <w:rPr>
          <w:rFonts w:ascii="Verdana" w:hAnsi="Verdana" w:cs="TTE29092B0t00"/>
          <w:sz w:val="19"/>
          <w:szCs w:val="19"/>
        </w:rPr>
        <w:t xml:space="preserve"> </w:t>
      </w:r>
      <w:r w:rsidR="008E46E2">
        <w:rPr>
          <w:rFonts w:ascii="Verdana" w:hAnsi="Verdana" w:cs="TTE29092B0t00"/>
          <w:sz w:val="19"/>
          <w:szCs w:val="19"/>
        </w:rPr>
        <w:t>fortsat er nødvendig.</w:t>
      </w:r>
      <w:r w:rsidR="00A162A8">
        <w:rPr>
          <w:rFonts w:ascii="Verdana" w:hAnsi="Verdana" w:cs="TTE29092B0t00"/>
          <w:sz w:val="19"/>
          <w:szCs w:val="19"/>
        </w:rPr>
        <w:t xml:space="preserve"> Det handler om, at </w:t>
      </w:r>
      <w:r w:rsidR="00A162A8" w:rsidRPr="00D341C8">
        <w:rPr>
          <w:rFonts w:ascii="Verdana" w:hAnsi="Verdana" w:cs="TTE29092B0t00"/>
          <w:sz w:val="19"/>
          <w:szCs w:val="19"/>
        </w:rPr>
        <w:t>både</w:t>
      </w:r>
      <w:r w:rsidR="00A162A8">
        <w:rPr>
          <w:rFonts w:ascii="Verdana" w:hAnsi="Verdana" w:cs="TTE29092B0t00"/>
          <w:sz w:val="19"/>
          <w:szCs w:val="19"/>
        </w:rPr>
        <w:t xml:space="preserve"> lastbilchauffører og cyklister/fodgængere holder øje med hinanden, at de bliver gjort opmærksomme på faren for højresvingsulykker</w:t>
      </w:r>
      <w:r w:rsidR="001C70AB">
        <w:rPr>
          <w:rFonts w:ascii="Verdana" w:hAnsi="Verdana" w:cs="TTE29092B0t00"/>
          <w:sz w:val="19"/>
          <w:szCs w:val="19"/>
        </w:rPr>
        <w:t>,</w:t>
      </w:r>
      <w:r w:rsidR="00A162A8">
        <w:rPr>
          <w:rFonts w:ascii="Verdana" w:hAnsi="Verdana" w:cs="TTE29092B0t00"/>
          <w:sz w:val="19"/>
          <w:szCs w:val="19"/>
        </w:rPr>
        <w:t xml:space="preserve"> og hvad de selv kan gøre for, at ulykkerne undgås. </w:t>
      </w:r>
    </w:p>
    <w:p w:rsidR="008E46E2" w:rsidRDefault="008E46E2" w:rsidP="00DD4C56">
      <w:pPr>
        <w:autoSpaceDE w:val="0"/>
        <w:autoSpaceDN w:val="0"/>
        <w:adjustRightInd w:val="0"/>
        <w:rPr>
          <w:rFonts w:ascii="Verdana" w:hAnsi="Verdana" w:cs="TTE29092B0t00"/>
          <w:sz w:val="19"/>
          <w:szCs w:val="19"/>
        </w:rPr>
      </w:pPr>
    </w:p>
    <w:p w:rsidR="00BA75B5" w:rsidRDefault="00D56782" w:rsidP="00DD4C56">
      <w:pPr>
        <w:autoSpaceDE w:val="0"/>
        <w:autoSpaceDN w:val="0"/>
        <w:adjustRightInd w:val="0"/>
        <w:rPr>
          <w:rFonts w:ascii="Verdana" w:hAnsi="Verdana" w:cs="TTE29092B0t00"/>
          <w:sz w:val="19"/>
          <w:szCs w:val="19"/>
        </w:rPr>
      </w:pPr>
      <w:r>
        <w:rPr>
          <w:rFonts w:ascii="Verdana" w:hAnsi="Verdana" w:cs="TTE29092B0t00"/>
          <w:sz w:val="19"/>
          <w:szCs w:val="19"/>
        </w:rPr>
        <w:t xml:space="preserve">Gennem de senere år har der været stor fokus på </w:t>
      </w:r>
      <w:r w:rsidR="003B0EEC">
        <w:rPr>
          <w:rFonts w:ascii="Verdana" w:hAnsi="Verdana" w:cs="TTE29092B0t00"/>
          <w:sz w:val="19"/>
          <w:szCs w:val="19"/>
        </w:rPr>
        <w:t>foreb</w:t>
      </w:r>
      <w:r w:rsidR="00E13BA1">
        <w:rPr>
          <w:rFonts w:ascii="Verdana" w:hAnsi="Verdana" w:cs="TTE29092B0t00"/>
          <w:sz w:val="19"/>
          <w:szCs w:val="19"/>
        </w:rPr>
        <w:t>yggelse af højresvingsulykker</w:t>
      </w:r>
      <w:r w:rsidR="00990FA3">
        <w:rPr>
          <w:rFonts w:ascii="Verdana" w:hAnsi="Verdana" w:cs="TTE29092B0t00"/>
          <w:sz w:val="19"/>
          <w:szCs w:val="19"/>
        </w:rPr>
        <w:t>,</w:t>
      </w:r>
      <w:r w:rsidR="00E13BA1">
        <w:rPr>
          <w:rFonts w:ascii="Verdana" w:hAnsi="Verdana" w:cs="TTE29092B0t00"/>
          <w:sz w:val="19"/>
          <w:szCs w:val="19"/>
        </w:rPr>
        <w:t xml:space="preserve"> og </w:t>
      </w:r>
      <w:r w:rsidR="003B0EEC">
        <w:rPr>
          <w:rFonts w:ascii="Verdana" w:hAnsi="Verdana" w:cs="TTE29092B0t00"/>
          <w:sz w:val="19"/>
          <w:szCs w:val="19"/>
        </w:rPr>
        <w:t>med afsæt i</w:t>
      </w:r>
      <w:r w:rsidR="00E13BA1">
        <w:rPr>
          <w:rFonts w:ascii="Verdana" w:hAnsi="Verdana" w:cs="TTE29092B0t00"/>
          <w:sz w:val="19"/>
          <w:szCs w:val="19"/>
        </w:rPr>
        <w:t xml:space="preserve"> blandt andet </w:t>
      </w:r>
      <w:r w:rsidR="003B0EEC">
        <w:rPr>
          <w:rFonts w:ascii="Verdana" w:hAnsi="Verdana" w:cs="TTE29092B0t00"/>
          <w:sz w:val="19"/>
          <w:szCs w:val="19"/>
        </w:rPr>
        <w:t xml:space="preserve">Havarikommissionens anbefalinger fra </w:t>
      </w:r>
      <w:r w:rsidR="005A06BD">
        <w:rPr>
          <w:rFonts w:ascii="Verdana" w:hAnsi="Verdana" w:cs="TTE29092B0t00"/>
          <w:sz w:val="19"/>
          <w:szCs w:val="19"/>
        </w:rPr>
        <w:t>2006</w:t>
      </w:r>
      <w:r w:rsidR="003B0EEC">
        <w:rPr>
          <w:rFonts w:ascii="Verdana" w:hAnsi="Verdana" w:cs="TTE29092B0t00"/>
          <w:sz w:val="19"/>
          <w:szCs w:val="19"/>
        </w:rPr>
        <w:t xml:space="preserve"> </w:t>
      </w:r>
      <w:r w:rsidR="00706BAC">
        <w:rPr>
          <w:rFonts w:ascii="Verdana" w:hAnsi="Verdana" w:cs="TTE29092B0t00"/>
          <w:sz w:val="19"/>
          <w:szCs w:val="19"/>
        </w:rPr>
        <w:t xml:space="preserve">i rapporten ”Ulykker mellem højresvingende lastbiler og </w:t>
      </w:r>
      <w:proofErr w:type="spellStart"/>
      <w:r w:rsidR="00706BAC">
        <w:rPr>
          <w:rFonts w:ascii="Verdana" w:hAnsi="Verdana" w:cs="TTE29092B0t00"/>
          <w:sz w:val="19"/>
          <w:szCs w:val="19"/>
        </w:rPr>
        <w:t>ligeudkørende</w:t>
      </w:r>
      <w:proofErr w:type="spellEnd"/>
      <w:r w:rsidR="00706BAC">
        <w:rPr>
          <w:rFonts w:ascii="Verdana" w:hAnsi="Verdana" w:cs="TTE29092B0t00"/>
          <w:sz w:val="19"/>
          <w:szCs w:val="19"/>
        </w:rPr>
        <w:t xml:space="preserve"> cyklister” </w:t>
      </w:r>
      <w:r w:rsidR="003B0EEC">
        <w:rPr>
          <w:rFonts w:ascii="Verdana" w:hAnsi="Verdana" w:cs="TTE29092B0t00"/>
          <w:sz w:val="19"/>
          <w:szCs w:val="19"/>
        </w:rPr>
        <w:t>er der iværksat en lang række relevante tilta</w:t>
      </w:r>
      <w:r w:rsidR="005A06BD">
        <w:rPr>
          <w:rFonts w:ascii="Verdana" w:hAnsi="Verdana" w:cs="TTE29092B0t00"/>
          <w:sz w:val="19"/>
          <w:szCs w:val="19"/>
        </w:rPr>
        <w:t xml:space="preserve">g, herunder diverse kampagner </w:t>
      </w:r>
      <w:r w:rsidR="00E13BA1">
        <w:rPr>
          <w:rFonts w:ascii="Verdana" w:hAnsi="Verdana" w:cs="TTE29092B0t00"/>
          <w:sz w:val="19"/>
          <w:szCs w:val="19"/>
        </w:rPr>
        <w:t>samt</w:t>
      </w:r>
      <w:r w:rsidR="003B0EEC">
        <w:rPr>
          <w:rFonts w:ascii="Verdana" w:hAnsi="Verdana" w:cs="TTE29092B0t00"/>
          <w:sz w:val="19"/>
          <w:szCs w:val="19"/>
        </w:rPr>
        <w:t xml:space="preserve"> forsøg</w:t>
      </w:r>
      <w:r w:rsidR="005A06BD">
        <w:rPr>
          <w:rFonts w:ascii="Verdana" w:hAnsi="Verdana" w:cs="TTE29092B0t00"/>
          <w:sz w:val="19"/>
          <w:szCs w:val="19"/>
        </w:rPr>
        <w:t>s</w:t>
      </w:r>
      <w:r w:rsidR="00E13BA1">
        <w:rPr>
          <w:rFonts w:ascii="Verdana" w:hAnsi="Verdana" w:cs="TTE29092B0t00"/>
          <w:sz w:val="19"/>
          <w:szCs w:val="19"/>
        </w:rPr>
        <w:t>- og udviklings</w:t>
      </w:r>
      <w:r w:rsidR="005A06BD">
        <w:rPr>
          <w:rFonts w:ascii="Verdana" w:hAnsi="Verdana" w:cs="TTE29092B0t00"/>
          <w:sz w:val="19"/>
          <w:szCs w:val="19"/>
        </w:rPr>
        <w:t>projekter</w:t>
      </w:r>
      <w:r w:rsidR="003B0EEC">
        <w:rPr>
          <w:rFonts w:ascii="Verdana" w:hAnsi="Verdana" w:cs="TTE29092B0t00"/>
          <w:sz w:val="19"/>
          <w:szCs w:val="19"/>
        </w:rPr>
        <w:t>.</w:t>
      </w:r>
      <w:r w:rsidR="00BA75B5">
        <w:rPr>
          <w:rFonts w:ascii="Verdana" w:hAnsi="Verdana" w:cs="TTE29092B0t00"/>
          <w:sz w:val="19"/>
          <w:szCs w:val="19"/>
        </w:rPr>
        <w:t xml:space="preserve"> </w:t>
      </w:r>
    </w:p>
    <w:p w:rsidR="00BA75B5" w:rsidRDefault="00BA75B5" w:rsidP="00DD4C56">
      <w:pPr>
        <w:autoSpaceDE w:val="0"/>
        <w:autoSpaceDN w:val="0"/>
        <w:adjustRightInd w:val="0"/>
        <w:rPr>
          <w:rFonts w:ascii="Verdana" w:hAnsi="Verdana" w:cs="TTE29092B0t00"/>
          <w:sz w:val="19"/>
          <w:szCs w:val="19"/>
        </w:rPr>
      </w:pPr>
    </w:p>
    <w:p w:rsidR="005A06BD" w:rsidRDefault="003C69DF" w:rsidP="00D21398">
      <w:pPr>
        <w:autoSpaceDE w:val="0"/>
        <w:autoSpaceDN w:val="0"/>
        <w:adjustRightInd w:val="0"/>
        <w:rPr>
          <w:rFonts w:ascii="Verdana" w:hAnsi="Verdana" w:cs="TTE29092B0t00"/>
          <w:sz w:val="19"/>
          <w:szCs w:val="19"/>
        </w:rPr>
      </w:pPr>
      <w:r>
        <w:rPr>
          <w:rFonts w:ascii="Verdana" w:hAnsi="Verdana" w:cs="TTE29092B0t00"/>
          <w:sz w:val="19"/>
          <w:szCs w:val="19"/>
        </w:rPr>
        <w:t>K</w:t>
      </w:r>
      <w:r w:rsidR="00BA75B5">
        <w:rPr>
          <w:rFonts w:ascii="Verdana" w:hAnsi="Verdana" w:cs="TTE29092B0t00"/>
          <w:sz w:val="19"/>
          <w:szCs w:val="19"/>
        </w:rPr>
        <w:t>ampagner</w:t>
      </w:r>
      <w:r w:rsidR="009F3FB4">
        <w:rPr>
          <w:rFonts w:ascii="Verdana" w:hAnsi="Verdana" w:cs="TTE29092B0t00"/>
          <w:sz w:val="19"/>
          <w:szCs w:val="19"/>
        </w:rPr>
        <w:t xml:space="preserve"> som fx</w:t>
      </w:r>
      <w:r w:rsidR="00BA75B5">
        <w:rPr>
          <w:rFonts w:ascii="Verdana" w:hAnsi="Verdana" w:cs="TTE29092B0t00"/>
          <w:sz w:val="19"/>
          <w:szCs w:val="19"/>
        </w:rPr>
        <w:t xml:space="preserve"> ”</w:t>
      </w:r>
      <w:r w:rsidR="00C85034">
        <w:rPr>
          <w:rFonts w:ascii="Verdana" w:hAnsi="Verdana" w:cs="TTE29092B0t00"/>
          <w:sz w:val="19"/>
          <w:szCs w:val="19"/>
        </w:rPr>
        <w:t>Pas på de blinde vinkler</w:t>
      </w:r>
      <w:r w:rsidR="00BA75B5">
        <w:rPr>
          <w:rFonts w:ascii="Verdana" w:hAnsi="Verdana" w:cs="TTE29092B0t00"/>
          <w:sz w:val="19"/>
          <w:szCs w:val="19"/>
        </w:rPr>
        <w:t>”</w:t>
      </w:r>
      <w:r w:rsidR="00D06AF6">
        <w:rPr>
          <w:rFonts w:ascii="Verdana" w:hAnsi="Verdana" w:cs="TTE29092B0t00"/>
          <w:sz w:val="19"/>
          <w:szCs w:val="19"/>
        </w:rPr>
        <w:t xml:space="preserve"> og</w:t>
      </w:r>
      <w:r w:rsidR="00C85034">
        <w:rPr>
          <w:rFonts w:ascii="Verdana" w:hAnsi="Verdana" w:cs="TTE29092B0t00"/>
          <w:sz w:val="19"/>
          <w:szCs w:val="19"/>
        </w:rPr>
        <w:t xml:space="preserve"> ”Trafiksikkerhed i øjenhøjde”</w:t>
      </w:r>
      <w:r w:rsidR="001C741A">
        <w:rPr>
          <w:rFonts w:ascii="Verdana" w:hAnsi="Verdana" w:cs="TTE29092B0t00"/>
          <w:sz w:val="19"/>
          <w:szCs w:val="19"/>
        </w:rPr>
        <w:t xml:space="preserve"> </w:t>
      </w:r>
      <w:r w:rsidR="00FA6D56">
        <w:rPr>
          <w:rFonts w:ascii="Verdana" w:hAnsi="Verdana" w:cs="TTE29092B0t00"/>
          <w:sz w:val="19"/>
          <w:szCs w:val="19"/>
        </w:rPr>
        <w:t>yder efter</w:t>
      </w:r>
      <w:r w:rsidR="00536F40">
        <w:rPr>
          <w:rFonts w:ascii="Verdana" w:hAnsi="Verdana" w:cs="TTE29092B0t00"/>
          <w:sz w:val="19"/>
          <w:szCs w:val="19"/>
        </w:rPr>
        <w:t xml:space="preserve"> </w:t>
      </w:r>
      <w:proofErr w:type="spellStart"/>
      <w:r w:rsidR="00536F40">
        <w:rPr>
          <w:rFonts w:ascii="Verdana" w:hAnsi="Verdana" w:cs="TTE29092B0t00"/>
          <w:sz w:val="19"/>
          <w:szCs w:val="19"/>
        </w:rPr>
        <w:t>ITD’s</w:t>
      </w:r>
      <w:proofErr w:type="spellEnd"/>
      <w:r w:rsidR="00536F40">
        <w:rPr>
          <w:rFonts w:ascii="Verdana" w:hAnsi="Verdana" w:cs="TTE29092B0t00"/>
          <w:sz w:val="19"/>
          <w:szCs w:val="19"/>
        </w:rPr>
        <w:t xml:space="preserve"> opfattelse </w:t>
      </w:r>
      <w:r w:rsidR="00FA6D56">
        <w:rPr>
          <w:rFonts w:ascii="Verdana" w:hAnsi="Verdana" w:cs="TTE29092B0t00"/>
          <w:sz w:val="19"/>
          <w:szCs w:val="19"/>
        </w:rPr>
        <w:t xml:space="preserve">et </w:t>
      </w:r>
      <w:r w:rsidR="00FA70D6">
        <w:rPr>
          <w:rFonts w:ascii="Verdana" w:hAnsi="Verdana" w:cs="TTE29092B0t00"/>
          <w:sz w:val="19"/>
          <w:szCs w:val="19"/>
        </w:rPr>
        <w:t>nødvendigt</w:t>
      </w:r>
      <w:r w:rsidR="00C46CC1">
        <w:rPr>
          <w:rFonts w:ascii="Verdana" w:hAnsi="Verdana" w:cs="TTE29092B0t00"/>
          <w:sz w:val="19"/>
          <w:szCs w:val="19"/>
        </w:rPr>
        <w:t xml:space="preserve"> og </w:t>
      </w:r>
      <w:r w:rsidR="00A162A8">
        <w:rPr>
          <w:rFonts w:ascii="Verdana" w:hAnsi="Verdana" w:cs="TTE29092B0t00"/>
          <w:sz w:val="19"/>
          <w:szCs w:val="19"/>
        </w:rPr>
        <w:t>væsentligt</w:t>
      </w:r>
      <w:r w:rsidR="00FA6D56">
        <w:rPr>
          <w:rFonts w:ascii="Verdana" w:hAnsi="Verdana" w:cs="TTE29092B0t00"/>
          <w:sz w:val="19"/>
          <w:szCs w:val="19"/>
        </w:rPr>
        <w:t xml:space="preserve"> bidrag i forebyggelsesindsatsen mod </w:t>
      </w:r>
      <w:r w:rsidR="001C741A">
        <w:rPr>
          <w:rFonts w:ascii="Verdana" w:hAnsi="Verdana" w:cs="TTE29092B0t00"/>
          <w:sz w:val="19"/>
          <w:szCs w:val="19"/>
        </w:rPr>
        <w:t>de alvorlige højresvingsulykker.</w:t>
      </w:r>
      <w:r w:rsidR="00FA6D56">
        <w:rPr>
          <w:rFonts w:ascii="Verdana" w:hAnsi="Verdana" w:cs="TTE29092B0t00"/>
          <w:sz w:val="19"/>
          <w:szCs w:val="19"/>
        </w:rPr>
        <w:t xml:space="preserve"> Det er derfor </w:t>
      </w:r>
      <w:r w:rsidR="00776FEA">
        <w:rPr>
          <w:rFonts w:ascii="Verdana" w:hAnsi="Verdana" w:cs="TTE29092B0t00"/>
          <w:sz w:val="19"/>
          <w:szCs w:val="19"/>
        </w:rPr>
        <w:t>vigtigt</w:t>
      </w:r>
      <w:r w:rsidR="00990FA3">
        <w:rPr>
          <w:rFonts w:ascii="Verdana" w:hAnsi="Verdana" w:cs="TTE29092B0t00"/>
          <w:sz w:val="19"/>
          <w:szCs w:val="19"/>
        </w:rPr>
        <w:t>,</w:t>
      </w:r>
      <w:r w:rsidR="00FA6D56">
        <w:rPr>
          <w:rFonts w:ascii="Verdana" w:hAnsi="Verdana" w:cs="TTE29092B0t00"/>
          <w:sz w:val="19"/>
          <w:szCs w:val="19"/>
        </w:rPr>
        <w:t xml:space="preserve"> at myndigheder og </w:t>
      </w:r>
      <w:r w:rsidR="00BA75B5">
        <w:rPr>
          <w:rFonts w:ascii="Verdana" w:hAnsi="Verdana" w:cs="TTE29092B0t00"/>
          <w:sz w:val="19"/>
          <w:szCs w:val="19"/>
        </w:rPr>
        <w:t>branchen</w:t>
      </w:r>
      <w:r w:rsidR="00FF036B">
        <w:rPr>
          <w:rFonts w:ascii="Verdana" w:hAnsi="Verdana" w:cs="TTE29092B0t00"/>
          <w:sz w:val="19"/>
          <w:szCs w:val="19"/>
        </w:rPr>
        <w:t xml:space="preserve"> - i samarbejde med de danske cyklister</w:t>
      </w:r>
      <w:r w:rsidR="002F0FDF">
        <w:rPr>
          <w:rFonts w:ascii="Verdana" w:hAnsi="Verdana" w:cs="TTE29092B0t00"/>
          <w:sz w:val="19"/>
          <w:szCs w:val="19"/>
        </w:rPr>
        <w:t xml:space="preserve"> og fodgængere</w:t>
      </w:r>
      <w:r w:rsidR="00FF036B">
        <w:rPr>
          <w:rFonts w:ascii="Verdana" w:hAnsi="Verdana" w:cs="TTE29092B0t00"/>
          <w:sz w:val="19"/>
          <w:szCs w:val="19"/>
        </w:rPr>
        <w:t xml:space="preserve"> </w:t>
      </w:r>
      <w:r w:rsidR="00C85034">
        <w:rPr>
          <w:rFonts w:ascii="Verdana" w:hAnsi="Verdana" w:cs="TTE29092B0t00"/>
          <w:sz w:val="19"/>
          <w:szCs w:val="19"/>
        </w:rPr>
        <w:t>–</w:t>
      </w:r>
      <w:r w:rsidR="00BA75B5">
        <w:rPr>
          <w:rFonts w:ascii="Verdana" w:hAnsi="Verdana" w:cs="TTE29092B0t00"/>
          <w:sz w:val="19"/>
          <w:szCs w:val="19"/>
        </w:rPr>
        <w:t xml:space="preserve"> </w:t>
      </w:r>
      <w:r w:rsidR="00C85034">
        <w:rPr>
          <w:rFonts w:ascii="Verdana" w:hAnsi="Verdana" w:cs="TTE29092B0t00"/>
          <w:sz w:val="19"/>
          <w:szCs w:val="19"/>
        </w:rPr>
        <w:t>til stadighed</w:t>
      </w:r>
      <w:r w:rsidR="00BA75B5">
        <w:rPr>
          <w:rFonts w:ascii="Verdana" w:hAnsi="Verdana" w:cs="TTE29092B0t00"/>
          <w:sz w:val="19"/>
          <w:szCs w:val="19"/>
        </w:rPr>
        <w:t xml:space="preserve"> følger op </w:t>
      </w:r>
      <w:r w:rsidR="00536F40">
        <w:rPr>
          <w:rFonts w:ascii="Verdana" w:hAnsi="Verdana" w:cs="TTE29092B0t00"/>
          <w:sz w:val="19"/>
          <w:szCs w:val="19"/>
        </w:rPr>
        <w:t>p</w:t>
      </w:r>
      <w:r w:rsidR="00D33A21">
        <w:rPr>
          <w:rFonts w:ascii="Verdana" w:hAnsi="Verdana" w:cs="TTE29092B0t00"/>
          <w:sz w:val="19"/>
          <w:szCs w:val="19"/>
        </w:rPr>
        <w:t>å kampagnerne</w:t>
      </w:r>
      <w:r w:rsidR="00AD10F8">
        <w:rPr>
          <w:rFonts w:ascii="Verdana" w:hAnsi="Verdana" w:cs="TTE29092B0t00"/>
          <w:sz w:val="19"/>
          <w:szCs w:val="19"/>
        </w:rPr>
        <w:t xml:space="preserve">. </w:t>
      </w:r>
      <w:r w:rsidR="00D06AF6">
        <w:rPr>
          <w:rFonts w:ascii="Verdana" w:hAnsi="Verdana" w:cs="TTE29092B0t00"/>
          <w:sz w:val="19"/>
          <w:szCs w:val="19"/>
        </w:rPr>
        <w:t>B</w:t>
      </w:r>
      <w:r w:rsidR="001C741A">
        <w:rPr>
          <w:rFonts w:ascii="Verdana" w:hAnsi="Verdana" w:cs="TTE29092B0t00"/>
          <w:sz w:val="19"/>
          <w:szCs w:val="19"/>
        </w:rPr>
        <w:t xml:space="preserve">ranchens </w:t>
      </w:r>
      <w:r w:rsidR="00D06AF6">
        <w:rPr>
          <w:rFonts w:ascii="Verdana" w:hAnsi="Verdana" w:cs="TTE29092B0t00"/>
          <w:sz w:val="19"/>
          <w:szCs w:val="19"/>
        </w:rPr>
        <w:t xml:space="preserve">indsatser styrkes allerede nu </w:t>
      </w:r>
      <w:r w:rsidR="001C741A">
        <w:rPr>
          <w:rFonts w:ascii="Verdana" w:hAnsi="Verdana" w:cs="TTE29092B0t00"/>
          <w:sz w:val="19"/>
          <w:szCs w:val="19"/>
        </w:rPr>
        <w:t>med transportorganisationernes fælles erklæring om god adfærd</w:t>
      </w:r>
      <w:r w:rsidR="00C94B77">
        <w:rPr>
          <w:rFonts w:ascii="Verdana" w:hAnsi="Verdana" w:cs="TTE29092B0t00"/>
          <w:sz w:val="19"/>
          <w:szCs w:val="19"/>
        </w:rPr>
        <w:t xml:space="preserve"> -</w:t>
      </w:r>
      <w:r w:rsidR="001C741A">
        <w:rPr>
          <w:rFonts w:ascii="Verdana" w:hAnsi="Verdana" w:cs="TTE29092B0t00"/>
          <w:sz w:val="19"/>
          <w:szCs w:val="19"/>
        </w:rPr>
        <w:t xml:space="preserve"> underskrevet på Rådhuspladsen den 27. august 2010.</w:t>
      </w:r>
    </w:p>
    <w:p w:rsidR="00FF036B" w:rsidRDefault="00FF036B" w:rsidP="00D21398">
      <w:pPr>
        <w:autoSpaceDE w:val="0"/>
        <w:autoSpaceDN w:val="0"/>
        <w:adjustRightInd w:val="0"/>
        <w:rPr>
          <w:rFonts w:ascii="Verdana" w:hAnsi="Verdana" w:cs="TTE29092B0t00"/>
          <w:sz w:val="19"/>
          <w:szCs w:val="19"/>
        </w:rPr>
      </w:pPr>
    </w:p>
    <w:p w:rsidR="00FF036B" w:rsidRDefault="00FF036B" w:rsidP="00D21398">
      <w:pPr>
        <w:autoSpaceDE w:val="0"/>
        <w:autoSpaceDN w:val="0"/>
        <w:adjustRightInd w:val="0"/>
        <w:rPr>
          <w:rFonts w:ascii="Verdana" w:hAnsi="Verdana" w:cs="TTE29092B0t00"/>
          <w:sz w:val="19"/>
          <w:szCs w:val="19"/>
        </w:rPr>
      </w:pPr>
      <w:r>
        <w:rPr>
          <w:rFonts w:ascii="Verdana" w:hAnsi="Verdana" w:cs="TTE29092B0t00"/>
          <w:sz w:val="19"/>
          <w:szCs w:val="19"/>
        </w:rPr>
        <w:t>Den stigende repræsentation af udenlandske l</w:t>
      </w:r>
      <w:r w:rsidR="00AD2312">
        <w:rPr>
          <w:rFonts w:ascii="Verdana" w:hAnsi="Verdana" w:cs="TTE29092B0t00"/>
          <w:sz w:val="19"/>
          <w:szCs w:val="19"/>
        </w:rPr>
        <w:t>astbiler og chauffører i ulykkesstatistikken</w:t>
      </w:r>
      <w:r>
        <w:rPr>
          <w:rFonts w:ascii="Verdana" w:hAnsi="Verdana" w:cs="TTE29092B0t00"/>
          <w:sz w:val="19"/>
          <w:szCs w:val="19"/>
        </w:rPr>
        <w:t xml:space="preserve"> </w:t>
      </w:r>
      <w:r w:rsidR="00C70960">
        <w:rPr>
          <w:rFonts w:ascii="Verdana" w:hAnsi="Verdana" w:cs="TTE29092B0t00"/>
          <w:sz w:val="19"/>
          <w:szCs w:val="19"/>
        </w:rPr>
        <w:t>give</w:t>
      </w:r>
      <w:r w:rsidR="00FA0CDF">
        <w:rPr>
          <w:rFonts w:ascii="Verdana" w:hAnsi="Verdana" w:cs="TTE29092B0t00"/>
          <w:sz w:val="19"/>
          <w:szCs w:val="19"/>
        </w:rPr>
        <w:t xml:space="preserve">r </w:t>
      </w:r>
      <w:r w:rsidR="00C70960">
        <w:rPr>
          <w:rFonts w:ascii="Verdana" w:hAnsi="Verdana" w:cs="TTE29092B0t00"/>
          <w:sz w:val="19"/>
          <w:szCs w:val="19"/>
        </w:rPr>
        <w:t xml:space="preserve">anledning til </w:t>
      </w:r>
      <w:r w:rsidR="00990FA3">
        <w:rPr>
          <w:rFonts w:ascii="Verdana" w:hAnsi="Verdana" w:cs="TTE29092B0t00"/>
          <w:sz w:val="19"/>
          <w:szCs w:val="19"/>
        </w:rPr>
        <w:t xml:space="preserve">også </w:t>
      </w:r>
      <w:r w:rsidR="00AD2312">
        <w:rPr>
          <w:rFonts w:ascii="Verdana" w:hAnsi="Verdana" w:cs="TTE29092B0t00"/>
          <w:sz w:val="19"/>
          <w:szCs w:val="19"/>
        </w:rPr>
        <w:t xml:space="preserve">fremover </w:t>
      </w:r>
      <w:r w:rsidR="00C70960">
        <w:rPr>
          <w:rFonts w:ascii="Verdana" w:hAnsi="Verdana" w:cs="TTE29092B0t00"/>
          <w:sz w:val="19"/>
          <w:szCs w:val="19"/>
        </w:rPr>
        <w:t xml:space="preserve">at rette kampagneindsatsen mod disse grupper. </w:t>
      </w:r>
      <w:r w:rsidR="00AD2312">
        <w:rPr>
          <w:rFonts w:ascii="Verdana" w:hAnsi="Verdana" w:cs="TTE29092B0t00"/>
          <w:sz w:val="19"/>
          <w:szCs w:val="19"/>
        </w:rPr>
        <w:t>Mange udenlandske chauffører kommer fra lande, hvor der ikke færdes så mange cyklister som i Danmark.</w:t>
      </w:r>
    </w:p>
    <w:p w:rsidR="00AD2312" w:rsidRDefault="00AD2312" w:rsidP="00D21398">
      <w:pPr>
        <w:autoSpaceDE w:val="0"/>
        <w:autoSpaceDN w:val="0"/>
        <w:adjustRightInd w:val="0"/>
        <w:rPr>
          <w:rFonts w:ascii="Verdana" w:hAnsi="Verdana" w:cs="TTE29092B0t00"/>
          <w:sz w:val="19"/>
          <w:szCs w:val="19"/>
        </w:rPr>
      </w:pPr>
    </w:p>
    <w:p w:rsidR="00AD2312" w:rsidRDefault="00320479" w:rsidP="00D21398">
      <w:pPr>
        <w:autoSpaceDE w:val="0"/>
        <w:autoSpaceDN w:val="0"/>
        <w:adjustRightInd w:val="0"/>
        <w:rPr>
          <w:rFonts w:ascii="Verdana" w:hAnsi="Verdana" w:cs="TTE29092B0t00"/>
          <w:sz w:val="19"/>
          <w:szCs w:val="19"/>
        </w:rPr>
      </w:pPr>
      <w:r>
        <w:rPr>
          <w:rFonts w:ascii="Verdana" w:hAnsi="Verdana" w:cs="TTE29092B0t00"/>
          <w:sz w:val="19"/>
          <w:szCs w:val="19"/>
        </w:rPr>
        <w:t>Ud</w:t>
      </w:r>
      <w:r w:rsidR="00990FA3">
        <w:rPr>
          <w:rFonts w:ascii="Verdana" w:hAnsi="Verdana" w:cs="TTE29092B0t00"/>
          <w:sz w:val="19"/>
          <w:szCs w:val="19"/>
        </w:rPr>
        <w:t xml:space="preserve"> </w:t>
      </w:r>
      <w:r>
        <w:rPr>
          <w:rFonts w:ascii="Verdana" w:hAnsi="Verdana" w:cs="TTE29092B0t00"/>
          <w:sz w:val="19"/>
          <w:szCs w:val="19"/>
        </w:rPr>
        <w:t xml:space="preserve">over </w:t>
      </w:r>
      <w:r w:rsidR="00A162A8">
        <w:rPr>
          <w:rFonts w:ascii="Verdana" w:hAnsi="Verdana" w:cs="TTE29092B0t00"/>
          <w:sz w:val="19"/>
          <w:szCs w:val="19"/>
        </w:rPr>
        <w:t xml:space="preserve">kampagneindsatsen </w:t>
      </w:r>
      <w:r w:rsidR="002254B6">
        <w:rPr>
          <w:rFonts w:ascii="Verdana" w:hAnsi="Verdana" w:cs="TTE29092B0t00"/>
          <w:sz w:val="19"/>
          <w:szCs w:val="19"/>
        </w:rPr>
        <w:t xml:space="preserve">finder </w:t>
      </w:r>
      <w:r w:rsidR="00A162A8">
        <w:rPr>
          <w:rFonts w:ascii="Verdana" w:hAnsi="Verdana" w:cs="TTE29092B0t00"/>
          <w:sz w:val="19"/>
          <w:szCs w:val="19"/>
        </w:rPr>
        <w:t xml:space="preserve">ITD </w:t>
      </w:r>
      <w:r w:rsidR="002254B6">
        <w:rPr>
          <w:rFonts w:ascii="Verdana" w:hAnsi="Verdana" w:cs="TTE29092B0t00"/>
          <w:sz w:val="19"/>
          <w:szCs w:val="19"/>
        </w:rPr>
        <w:t>det vigtigt,</w:t>
      </w:r>
      <w:r w:rsidR="00A162A8">
        <w:rPr>
          <w:rFonts w:ascii="Verdana" w:hAnsi="Verdana" w:cs="TTE29092B0t00"/>
          <w:sz w:val="19"/>
          <w:szCs w:val="19"/>
        </w:rPr>
        <w:t xml:space="preserve"> at undervisning i højresving </w:t>
      </w:r>
      <w:r w:rsidR="002254B6">
        <w:rPr>
          <w:rFonts w:ascii="Verdana" w:hAnsi="Verdana" w:cs="TTE29092B0t00"/>
          <w:sz w:val="19"/>
          <w:szCs w:val="19"/>
        </w:rPr>
        <w:t xml:space="preserve">udgør en </w:t>
      </w:r>
      <w:r w:rsidR="00D50A8B">
        <w:rPr>
          <w:rFonts w:ascii="Verdana" w:hAnsi="Verdana" w:cs="TTE29092B0t00"/>
          <w:sz w:val="19"/>
          <w:szCs w:val="19"/>
        </w:rPr>
        <w:t>fast</w:t>
      </w:r>
      <w:r w:rsidR="002254B6">
        <w:rPr>
          <w:rFonts w:ascii="Verdana" w:hAnsi="Verdana" w:cs="TTE29092B0t00"/>
          <w:sz w:val="19"/>
          <w:szCs w:val="19"/>
        </w:rPr>
        <w:t xml:space="preserve"> del af</w:t>
      </w:r>
      <w:r w:rsidR="00D50A8B">
        <w:rPr>
          <w:rFonts w:ascii="Verdana" w:hAnsi="Verdana" w:cs="TTE29092B0t00"/>
          <w:sz w:val="19"/>
          <w:szCs w:val="19"/>
        </w:rPr>
        <w:t xml:space="preserve"> pensum i uddannelses- og efteruddannelsessystemet. </w:t>
      </w:r>
      <w:r w:rsidR="009B009D">
        <w:rPr>
          <w:rFonts w:ascii="Verdana" w:hAnsi="Verdana" w:cs="TTE29092B0t00"/>
          <w:sz w:val="19"/>
          <w:szCs w:val="19"/>
        </w:rPr>
        <w:t xml:space="preserve">Der </w:t>
      </w:r>
      <w:r w:rsidR="002254B6">
        <w:rPr>
          <w:rFonts w:ascii="Verdana" w:hAnsi="Verdana" w:cs="TTE29092B0t00"/>
          <w:sz w:val="19"/>
          <w:szCs w:val="19"/>
        </w:rPr>
        <w:t xml:space="preserve">skal </w:t>
      </w:r>
      <w:r>
        <w:rPr>
          <w:rFonts w:ascii="Verdana" w:hAnsi="Verdana" w:cs="TTE29092B0t00"/>
          <w:sz w:val="19"/>
          <w:szCs w:val="19"/>
        </w:rPr>
        <w:t>til stadighed</w:t>
      </w:r>
      <w:r w:rsidR="009B009D">
        <w:rPr>
          <w:rFonts w:ascii="Verdana" w:hAnsi="Verdana" w:cs="TTE29092B0t00"/>
          <w:sz w:val="19"/>
          <w:szCs w:val="19"/>
        </w:rPr>
        <w:t xml:space="preserve"> </w:t>
      </w:r>
      <w:r w:rsidR="00E11F4B">
        <w:rPr>
          <w:rFonts w:ascii="Verdana" w:hAnsi="Verdana" w:cs="TTE29092B0t00"/>
          <w:sz w:val="19"/>
          <w:szCs w:val="19"/>
        </w:rPr>
        <w:t>fo</w:t>
      </w:r>
      <w:r w:rsidR="00132A54">
        <w:rPr>
          <w:rFonts w:ascii="Verdana" w:hAnsi="Verdana" w:cs="TTE29092B0t00"/>
          <w:sz w:val="19"/>
          <w:szCs w:val="19"/>
        </w:rPr>
        <w:t>kusere</w:t>
      </w:r>
      <w:r w:rsidR="009B009D">
        <w:rPr>
          <w:rFonts w:ascii="Verdana" w:hAnsi="Verdana" w:cs="TTE29092B0t00"/>
          <w:sz w:val="19"/>
          <w:szCs w:val="19"/>
        </w:rPr>
        <w:t xml:space="preserve">s </w:t>
      </w:r>
      <w:r w:rsidR="00C43388">
        <w:rPr>
          <w:rFonts w:ascii="Verdana" w:hAnsi="Verdana" w:cs="TTE29092B0t00"/>
          <w:sz w:val="19"/>
          <w:szCs w:val="19"/>
        </w:rPr>
        <w:t>på højresving og spejltest</w:t>
      </w:r>
      <w:r w:rsidR="00E11F4B">
        <w:rPr>
          <w:rFonts w:ascii="Verdana" w:hAnsi="Verdana" w:cs="TTE29092B0t00"/>
          <w:sz w:val="19"/>
          <w:szCs w:val="19"/>
        </w:rPr>
        <w:t xml:space="preserve"> i undervis</w:t>
      </w:r>
      <w:r w:rsidR="00AB5841">
        <w:rPr>
          <w:rFonts w:ascii="Verdana" w:hAnsi="Verdana" w:cs="TTE29092B0t00"/>
          <w:sz w:val="19"/>
          <w:szCs w:val="19"/>
        </w:rPr>
        <w:t>ningen af chauffører</w:t>
      </w:r>
      <w:r w:rsidR="00990FA3">
        <w:rPr>
          <w:rFonts w:ascii="Verdana" w:hAnsi="Verdana" w:cs="TTE29092B0t00"/>
          <w:sz w:val="19"/>
          <w:szCs w:val="19"/>
        </w:rPr>
        <w:t>,</w:t>
      </w:r>
      <w:r w:rsidR="00AB5841">
        <w:rPr>
          <w:rFonts w:ascii="Verdana" w:hAnsi="Verdana" w:cs="TTE29092B0t00"/>
          <w:sz w:val="19"/>
          <w:szCs w:val="19"/>
        </w:rPr>
        <w:t xml:space="preserve"> ligesom </w:t>
      </w:r>
      <w:r w:rsidR="007B2EEB">
        <w:rPr>
          <w:rFonts w:ascii="Verdana" w:hAnsi="Verdana" w:cs="TTE29092B0t00"/>
          <w:sz w:val="19"/>
          <w:szCs w:val="19"/>
        </w:rPr>
        <w:t>det</w:t>
      </w:r>
      <w:r w:rsidR="00990FA3">
        <w:rPr>
          <w:rFonts w:ascii="Verdana" w:hAnsi="Verdana" w:cs="TTE29092B0t00"/>
          <w:sz w:val="19"/>
          <w:szCs w:val="19"/>
        </w:rPr>
        <w:t xml:space="preserve"> </w:t>
      </w:r>
      <w:r w:rsidR="007B2EEB">
        <w:rPr>
          <w:rFonts w:ascii="Verdana" w:hAnsi="Verdana" w:cs="TTE29092B0t00"/>
          <w:sz w:val="19"/>
          <w:szCs w:val="19"/>
        </w:rPr>
        <w:t>at omgås lastbiler</w:t>
      </w:r>
      <w:r>
        <w:rPr>
          <w:rFonts w:ascii="Verdana" w:hAnsi="Verdana" w:cs="TTE29092B0t00"/>
          <w:sz w:val="19"/>
          <w:szCs w:val="19"/>
        </w:rPr>
        <w:t xml:space="preserve"> </w:t>
      </w:r>
      <w:r w:rsidR="00E11F4B">
        <w:rPr>
          <w:rFonts w:ascii="Verdana" w:hAnsi="Verdana" w:cs="TTE29092B0t00"/>
          <w:sz w:val="19"/>
          <w:szCs w:val="19"/>
        </w:rPr>
        <w:t>bør indgå i trafikundervisningen af de yngste klasser i folkeskolen.</w:t>
      </w:r>
    </w:p>
    <w:p w:rsidR="005A06BD" w:rsidRDefault="005A06BD" w:rsidP="00DD4C56">
      <w:pPr>
        <w:autoSpaceDE w:val="0"/>
        <w:autoSpaceDN w:val="0"/>
        <w:adjustRightInd w:val="0"/>
        <w:rPr>
          <w:rFonts w:ascii="Verdana" w:hAnsi="Verdana" w:cs="TTE29092B0t00"/>
          <w:sz w:val="19"/>
          <w:szCs w:val="19"/>
        </w:rPr>
      </w:pPr>
    </w:p>
    <w:p w:rsidR="00AD2312" w:rsidRDefault="00343822" w:rsidP="00DD4C56">
      <w:pPr>
        <w:autoSpaceDE w:val="0"/>
        <w:autoSpaceDN w:val="0"/>
        <w:adjustRightInd w:val="0"/>
        <w:rPr>
          <w:rFonts w:ascii="Verdana" w:hAnsi="Verdana" w:cs="TTE29092B0t00"/>
          <w:sz w:val="19"/>
          <w:szCs w:val="19"/>
        </w:rPr>
      </w:pPr>
      <w:r>
        <w:rPr>
          <w:rFonts w:ascii="Verdana" w:hAnsi="Verdana" w:cs="TTE29092B0t00"/>
          <w:sz w:val="19"/>
          <w:szCs w:val="19"/>
        </w:rPr>
        <w:t>Der er i de senere år igangsat</w:t>
      </w:r>
      <w:r w:rsidR="00AB4A5F">
        <w:rPr>
          <w:rFonts w:ascii="Verdana" w:hAnsi="Verdana" w:cs="TTE29092B0t00"/>
          <w:sz w:val="19"/>
          <w:szCs w:val="19"/>
        </w:rPr>
        <w:t xml:space="preserve"> lovende</w:t>
      </w:r>
      <w:r>
        <w:rPr>
          <w:rFonts w:ascii="Verdana" w:hAnsi="Verdana" w:cs="TTE29092B0t00"/>
          <w:sz w:val="19"/>
          <w:szCs w:val="19"/>
        </w:rPr>
        <w:t xml:space="preserve"> forsøgs- og udviklingsprojekter, heraf fl</w:t>
      </w:r>
      <w:r w:rsidR="00C90542">
        <w:rPr>
          <w:rFonts w:ascii="Verdana" w:hAnsi="Verdana" w:cs="TTE29092B0t00"/>
          <w:sz w:val="19"/>
          <w:szCs w:val="19"/>
        </w:rPr>
        <w:t xml:space="preserve">ere af teknisk karakter, </w:t>
      </w:r>
      <w:r>
        <w:rPr>
          <w:rFonts w:ascii="Verdana" w:hAnsi="Verdana" w:cs="TTE29092B0t00"/>
          <w:sz w:val="19"/>
          <w:szCs w:val="19"/>
        </w:rPr>
        <w:t xml:space="preserve">i relation til </w:t>
      </w:r>
      <w:r w:rsidR="00AB4A5F">
        <w:rPr>
          <w:rFonts w:ascii="Verdana" w:hAnsi="Verdana" w:cs="TTE29092B0t00"/>
          <w:sz w:val="19"/>
          <w:szCs w:val="19"/>
        </w:rPr>
        <w:t>udformningen af veje og kryds</w:t>
      </w:r>
      <w:r w:rsidR="00C90542">
        <w:rPr>
          <w:rFonts w:ascii="Verdana" w:hAnsi="Verdana" w:cs="TTE29092B0t00"/>
          <w:sz w:val="19"/>
          <w:szCs w:val="19"/>
        </w:rPr>
        <w:t xml:space="preserve"> og/eller </w:t>
      </w:r>
      <w:r w:rsidR="00346EC9">
        <w:rPr>
          <w:rFonts w:ascii="Verdana" w:hAnsi="Verdana" w:cs="TTE29092B0t00"/>
          <w:sz w:val="19"/>
          <w:szCs w:val="19"/>
        </w:rPr>
        <w:t>stickers til</w:t>
      </w:r>
      <w:r w:rsidR="00C90542">
        <w:rPr>
          <w:rFonts w:ascii="Verdana" w:hAnsi="Verdana" w:cs="TTE29092B0t00"/>
          <w:sz w:val="19"/>
          <w:szCs w:val="19"/>
        </w:rPr>
        <w:t xml:space="preserve"> veje </w:t>
      </w:r>
      <w:r w:rsidR="00563FD1">
        <w:rPr>
          <w:rFonts w:ascii="Verdana" w:hAnsi="Verdana" w:cs="TTE29092B0t00"/>
          <w:sz w:val="19"/>
          <w:szCs w:val="19"/>
        </w:rPr>
        <w:t>og</w:t>
      </w:r>
      <w:r w:rsidR="00C90542">
        <w:rPr>
          <w:rFonts w:ascii="Verdana" w:hAnsi="Verdana" w:cs="TTE29092B0t00"/>
          <w:sz w:val="19"/>
          <w:szCs w:val="19"/>
        </w:rPr>
        <w:t xml:space="preserve"> køretøjer</w:t>
      </w:r>
      <w:r w:rsidR="00AB4A5F">
        <w:rPr>
          <w:rFonts w:ascii="Verdana" w:hAnsi="Verdana" w:cs="TTE29092B0t00"/>
          <w:sz w:val="19"/>
          <w:szCs w:val="19"/>
        </w:rPr>
        <w:t xml:space="preserve">. ITD </w:t>
      </w:r>
      <w:r w:rsidR="00561D28">
        <w:rPr>
          <w:rFonts w:ascii="Verdana" w:hAnsi="Verdana" w:cs="TTE29092B0t00"/>
          <w:sz w:val="19"/>
          <w:szCs w:val="19"/>
        </w:rPr>
        <w:t>savner</w:t>
      </w:r>
      <w:r w:rsidR="00563FD1">
        <w:rPr>
          <w:rFonts w:ascii="Verdana" w:hAnsi="Verdana" w:cs="TTE29092B0t00"/>
          <w:sz w:val="19"/>
          <w:szCs w:val="19"/>
        </w:rPr>
        <w:t xml:space="preserve"> dog</w:t>
      </w:r>
      <w:r w:rsidR="00561D28">
        <w:rPr>
          <w:rFonts w:ascii="Verdana" w:hAnsi="Verdana" w:cs="TTE29092B0t00"/>
          <w:sz w:val="19"/>
          <w:szCs w:val="19"/>
        </w:rPr>
        <w:t xml:space="preserve"> her </w:t>
      </w:r>
      <w:r w:rsidR="00AB4A5F">
        <w:rPr>
          <w:rFonts w:ascii="Verdana" w:hAnsi="Verdana" w:cs="TTE29092B0t00"/>
          <w:sz w:val="19"/>
          <w:szCs w:val="19"/>
        </w:rPr>
        <w:t>en samlet evaluering af resultater og erfaringer til brug i den videre debat og i udarbejdelsen</w:t>
      </w:r>
      <w:r w:rsidR="00320479">
        <w:rPr>
          <w:rFonts w:ascii="Verdana" w:hAnsi="Verdana" w:cs="TTE29092B0t00"/>
          <w:sz w:val="19"/>
          <w:szCs w:val="19"/>
        </w:rPr>
        <w:t xml:space="preserve"> og udbredelsen</w:t>
      </w:r>
      <w:r w:rsidR="00AB4A5F">
        <w:rPr>
          <w:rFonts w:ascii="Verdana" w:hAnsi="Verdana" w:cs="TTE29092B0t00"/>
          <w:sz w:val="19"/>
          <w:szCs w:val="19"/>
        </w:rPr>
        <w:t xml:space="preserve"> af effektive løsningsmodeller. </w:t>
      </w:r>
    </w:p>
    <w:p w:rsidR="00AD2312" w:rsidRDefault="00AD2312" w:rsidP="00DD4C56">
      <w:pPr>
        <w:autoSpaceDE w:val="0"/>
        <w:autoSpaceDN w:val="0"/>
        <w:adjustRightInd w:val="0"/>
        <w:rPr>
          <w:rFonts w:ascii="Verdana" w:hAnsi="Verdana" w:cs="TTE29092B0t00"/>
          <w:sz w:val="19"/>
          <w:szCs w:val="19"/>
        </w:rPr>
      </w:pPr>
    </w:p>
    <w:p w:rsidR="00D33A21" w:rsidRDefault="00D33A21" w:rsidP="00DD4C56">
      <w:pPr>
        <w:autoSpaceDE w:val="0"/>
        <w:autoSpaceDN w:val="0"/>
        <w:adjustRightInd w:val="0"/>
        <w:rPr>
          <w:rFonts w:ascii="Verdana" w:hAnsi="Verdana" w:cs="TTE29092B0t00"/>
          <w:sz w:val="19"/>
          <w:szCs w:val="19"/>
        </w:rPr>
      </w:pPr>
    </w:p>
    <w:p w:rsidR="00346EC9" w:rsidRDefault="00346EC9" w:rsidP="00346EC9">
      <w:pPr>
        <w:pStyle w:val="Brevnormal"/>
      </w:pPr>
      <w:r>
        <w:t>ITD</w:t>
      </w:r>
      <w:r w:rsidR="00320479">
        <w:t xml:space="preserve"> vil desuden</w:t>
      </w:r>
      <w:r>
        <w:t xml:space="preserve"> opfordre til en mere dybdegående analyse og kortlægning af højresvingsulykkerne</w:t>
      </w:r>
      <w:r w:rsidR="00990FA3">
        <w:t>,</w:t>
      </w:r>
      <w:r>
        <w:t xml:space="preserve"> end tilfældet er i dag. En bedre viden om ulykkerne og årsagerne hertil er vigtig for at kunne målrette de fremtidige indsatser og ressourcer på området. ITD vil således gerne kvittere for, at der i de politiske aftaler om en grøn transportpolitik fra 2009 er taget initiativ til</w:t>
      </w:r>
      <w:r w:rsidR="00990FA3">
        <w:t>,</w:t>
      </w:r>
      <w:r>
        <w:t xml:space="preserve"> at hver dødsulykke i trafikken skal analyseres til bunds. ITD mener</w:t>
      </w:r>
      <w:r w:rsidR="00990FA3">
        <w:t>,</w:t>
      </w:r>
      <w:r>
        <w:t xml:space="preserve"> det er vigtigt, at myndighederne holder fokus herpå</w:t>
      </w:r>
      <w:r w:rsidR="00990FA3">
        <w:t>,</w:t>
      </w:r>
      <w:r>
        <w:t xml:space="preserve"> og at resultaterne bruges fremadrettet i indsatsen til at forebygge højresvingsulykker.</w:t>
      </w:r>
    </w:p>
    <w:p w:rsidR="00346EC9" w:rsidRDefault="00346EC9" w:rsidP="00DD4C56">
      <w:pPr>
        <w:autoSpaceDE w:val="0"/>
        <w:autoSpaceDN w:val="0"/>
        <w:adjustRightInd w:val="0"/>
        <w:rPr>
          <w:rFonts w:ascii="Verdana" w:hAnsi="Verdana" w:cs="TTE29092B0t00"/>
          <w:sz w:val="19"/>
          <w:szCs w:val="19"/>
        </w:rPr>
      </w:pPr>
    </w:p>
    <w:p w:rsidR="00D33A21" w:rsidRDefault="00346EC9" w:rsidP="00DD4C56">
      <w:pPr>
        <w:autoSpaceDE w:val="0"/>
        <w:autoSpaceDN w:val="0"/>
        <w:adjustRightInd w:val="0"/>
        <w:rPr>
          <w:rFonts w:ascii="Verdana" w:hAnsi="Verdana" w:cs="TTE29092B0t00"/>
          <w:sz w:val="19"/>
          <w:szCs w:val="19"/>
        </w:rPr>
      </w:pPr>
      <w:r>
        <w:rPr>
          <w:rFonts w:ascii="Verdana" w:hAnsi="Verdana" w:cs="TTE29092B0t00"/>
          <w:sz w:val="19"/>
          <w:szCs w:val="19"/>
        </w:rPr>
        <w:t xml:space="preserve">I betragtning af ovennævnte og i betragtning af </w:t>
      </w:r>
      <w:r w:rsidR="009129A5">
        <w:rPr>
          <w:rFonts w:ascii="Verdana" w:hAnsi="Verdana" w:cs="TTE29092B0t00"/>
          <w:sz w:val="19"/>
          <w:szCs w:val="19"/>
        </w:rPr>
        <w:t>Havarikommissionens rapport om</w:t>
      </w:r>
      <w:r w:rsidR="00321D5F">
        <w:rPr>
          <w:rFonts w:ascii="Verdana" w:hAnsi="Verdana" w:cs="TTE29092B0t00"/>
          <w:sz w:val="19"/>
          <w:szCs w:val="19"/>
        </w:rPr>
        <w:t xml:space="preserve"> højresvingsulykker fra 2006</w:t>
      </w:r>
      <w:r w:rsidR="00AB4A5F">
        <w:rPr>
          <w:rFonts w:ascii="Verdana" w:hAnsi="Verdana" w:cs="TTE29092B0t00"/>
          <w:sz w:val="19"/>
          <w:szCs w:val="19"/>
        </w:rPr>
        <w:t xml:space="preserve">, der </w:t>
      </w:r>
      <w:r>
        <w:rPr>
          <w:rFonts w:ascii="Verdana" w:hAnsi="Verdana" w:cs="TTE29092B0t00"/>
          <w:sz w:val="19"/>
          <w:szCs w:val="19"/>
        </w:rPr>
        <w:t xml:space="preserve">faktisk </w:t>
      </w:r>
      <w:r w:rsidR="009129A5">
        <w:rPr>
          <w:rFonts w:ascii="Verdana" w:hAnsi="Verdana" w:cs="TTE29092B0t00"/>
          <w:sz w:val="19"/>
          <w:szCs w:val="19"/>
        </w:rPr>
        <w:t>fraråder de i høringen fremsatte forslag</w:t>
      </w:r>
      <w:r w:rsidR="00990FA3">
        <w:rPr>
          <w:rFonts w:ascii="Verdana" w:hAnsi="Verdana" w:cs="TTE29092B0t00"/>
          <w:sz w:val="19"/>
          <w:szCs w:val="19"/>
        </w:rPr>
        <w:t>,</w:t>
      </w:r>
      <w:r w:rsidR="00321D5F">
        <w:rPr>
          <w:rFonts w:ascii="Verdana" w:hAnsi="Verdana" w:cs="TTE29092B0t00"/>
          <w:sz w:val="19"/>
          <w:szCs w:val="19"/>
        </w:rPr>
        <w:t xml:space="preserve"> kan det undre ITD</w:t>
      </w:r>
      <w:r w:rsidR="0068552A">
        <w:rPr>
          <w:rFonts w:ascii="Verdana" w:hAnsi="Verdana" w:cs="TTE29092B0t00"/>
          <w:sz w:val="19"/>
          <w:szCs w:val="19"/>
        </w:rPr>
        <w:t>, at Trafikstyrelsen frem for mange andre forslag</w:t>
      </w:r>
      <w:r w:rsidR="008012AF">
        <w:rPr>
          <w:rFonts w:ascii="Verdana" w:hAnsi="Verdana" w:cs="TTE29092B0t00"/>
          <w:sz w:val="19"/>
          <w:szCs w:val="19"/>
        </w:rPr>
        <w:t xml:space="preserve"> og igangværende projekter</w:t>
      </w:r>
      <w:r w:rsidR="0068552A">
        <w:rPr>
          <w:rFonts w:ascii="Verdana" w:hAnsi="Verdana" w:cs="TTE29092B0t00"/>
          <w:sz w:val="19"/>
          <w:szCs w:val="19"/>
        </w:rPr>
        <w:t xml:space="preserve"> fremhæver specielt disse</w:t>
      </w:r>
      <w:r w:rsidR="0003064B">
        <w:rPr>
          <w:rFonts w:ascii="Verdana" w:hAnsi="Verdana" w:cs="TTE29092B0t00"/>
          <w:sz w:val="19"/>
          <w:szCs w:val="19"/>
        </w:rPr>
        <w:t>:</w:t>
      </w:r>
    </w:p>
    <w:p w:rsidR="0003064B" w:rsidRDefault="0003064B" w:rsidP="00DD4C56">
      <w:pPr>
        <w:autoSpaceDE w:val="0"/>
        <w:autoSpaceDN w:val="0"/>
        <w:adjustRightInd w:val="0"/>
        <w:rPr>
          <w:rFonts w:ascii="Verdana" w:hAnsi="Verdana" w:cs="TTE29092B0t00"/>
          <w:sz w:val="19"/>
          <w:szCs w:val="19"/>
        </w:rPr>
      </w:pPr>
    </w:p>
    <w:p w:rsidR="0003064B" w:rsidRPr="00D341C8" w:rsidRDefault="0003064B" w:rsidP="0003064B">
      <w:pPr>
        <w:autoSpaceDE w:val="0"/>
        <w:autoSpaceDN w:val="0"/>
        <w:adjustRightInd w:val="0"/>
        <w:ind w:left="360"/>
        <w:rPr>
          <w:rFonts w:ascii="Verdana" w:hAnsi="Verdana" w:cs="TTE29092B0t00"/>
          <w:i/>
          <w:sz w:val="19"/>
          <w:szCs w:val="19"/>
        </w:rPr>
      </w:pPr>
      <w:r w:rsidRPr="00D341C8">
        <w:rPr>
          <w:rFonts w:ascii="Verdana" w:hAnsi="Verdana" w:cs="TTE29092B0t00"/>
          <w:i/>
          <w:sz w:val="19"/>
          <w:szCs w:val="19"/>
        </w:rPr>
        <w:t>”Kræv lovmæssigt, at de omtalte køretøjer på hele deres højre side udstyres med:</w:t>
      </w:r>
      <w:r>
        <w:rPr>
          <w:rFonts w:ascii="Verdana" w:hAnsi="Verdana" w:cs="TTE29092B0t00"/>
          <w:i/>
          <w:sz w:val="19"/>
          <w:szCs w:val="19"/>
        </w:rPr>
        <w:br/>
      </w:r>
    </w:p>
    <w:p w:rsidR="0003064B" w:rsidRPr="00D341C8" w:rsidRDefault="0003064B" w:rsidP="0003064B">
      <w:pPr>
        <w:pStyle w:val="Listeafsnit"/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Verdana" w:hAnsi="Verdana" w:cs="TTE29092B0t00"/>
          <w:i/>
          <w:sz w:val="19"/>
          <w:szCs w:val="19"/>
        </w:rPr>
      </w:pPr>
      <w:r w:rsidRPr="00D341C8">
        <w:rPr>
          <w:rFonts w:ascii="Verdana" w:hAnsi="Verdana" w:cs="TTE29092B0t00"/>
          <w:i/>
          <w:sz w:val="19"/>
          <w:szCs w:val="19"/>
        </w:rPr>
        <w:t>Blinkende lamper. – Blink fanger lettere øjet.</w:t>
      </w:r>
    </w:p>
    <w:p w:rsidR="0003064B" w:rsidRDefault="0003064B" w:rsidP="0003064B">
      <w:pPr>
        <w:pStyle w:val="Listeafsnit"/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Verdana" w:hAnsi="Verdana" w:cs="TTE29092B0t00"/>
          <w:sz w:val="19"/>
          <w:szCs w:val="19"/>
        </w:rPr>
      </w:pPr>
      <w:r w:rsidRPr="00D341C8">
        <w:rPr>
          <w:rFonts w:ascii="Verdana" w:hAnsi="Verdana" w:cs="TTE29092B0t00"/>
          <w:i/>
          <w:sz w:val="19"/>
          <w:szCs w:val="19"/>
        </w:rPr>
        <w:t>Lydsignaler med intervaller. – Til gavn for både seende og blinde.”</w:t>
      </w:r>
    </w:p>
    <w:p w:rsidR="00D21398" w:rsidRDefault="00D21398" w:rsidP="00DD4C56">
      <w:pPr>
        <w:autoSpaceDE w:val="0"/>
        <w:autoSpaceDN w:val="0"/>
        <w:adjustRightInd w:val="0"/>
        <w:rPr>
          <w:rFonts w:ascii="Verdana" w:hAnsi="Verdana" w:cs="TTE29092B0t00"/>
          <w:sz w:val="19"/>
          <w:szCs w:val="19"/>
        </w:rPr>
      </w:pPr>
    </w:p>
    <w:p w:rsidR="00D21398" w:rsidRDefault="00637336" w:rsidP="00DD4C56">
      <w:pPr>
        <w:autoSpaceDE w:val="0"/>
        <w:autoSpaceDN w:val="0"/>
        <w:adjustRightInd w:val="0"/>
        <w:rPr>
          <w:rFonts w:ascii="Verdana" w:hAnsi="Verdana" w:cs="TTE29092B0t00"/>
          <w:sz w:val="19"/>
          <w:szCs w:val="19"/>
        </w:rPr>
      </w:pPr>
      <w:r>
        <w:rPr>
          <w:rFonts w:ascii="Verdana" w:hAnsi="Verdana" w:cs="TTE29092B0t00"/>
          <w:sz w:val="19"/>
          <w:szCs w:val="19"/>
        </w:rPr>
        <w:t xml:space="preserve">Anvendelsen af blinkende lamper og lydsignaler bidrager efter </w:t>
      </w:r>
      <w:proofErr w:type="spellStart"/>
      <w:r>
        <w:rPr>
          <w:rFonts w:ascii="Verdana" w:hAnsi="Verdana" w:cs="TTE29092B0t00"/>
          <w:sz w:val="19"/>
          <w:szCs w:val="19"/>
        </w:rPr>
        <w:t>ITD’s</w:t>
      </w:r>
      <w:proofErr w:type="spellEnd"/>
      <w:r>
        <w:rPr>
          <w:rFonts w:ascii="Verdana" w:hAnsi="Verdana" w:cs="TTE29092B0t00"/>
          <w:sz w:val="19"/>
          <w:szCs w:val="19"/>
        </w:rPr>
        <w:t xml:space="preserve"> opfattelse </w:t>
      </w:r>
      <w:r w:rsidR="00922EC3">
        <w:rPr>
          <w:rFonts w:ascii="Verdana" w:hAnsi="Verdana" w:cs="TTE29092B0t00"/>
          <w:sz w:val="19"/>
          <w:szCs w:val="19"/>
        </w:rPr>
        <w:t xml:space="preserve">kun til øget </w:t>
      </w:r>
      <w:proofErr w:type="spellStart"/>
      <w:r w:rsidR="00922EC3">
        <w:rPr>
          <w:rFonts w:ascii="Verdana" w:hAnsi="Verdana" w:cs="TTE29092B0t00"/>
          <w:sz w:val="19"/>
          <w:szCs w:val="19"/>
        </w:rPr>
        <w:t>lys-</w:t>
      </w:r>
      <w:proofErr w:type="spellEnd"/>
      <w:r w:rsidR="00922EC3">
        <w:rPr>
          <w:rFonts w:ascii="Verdana" w:hAnsi="Verdana" w:cs="TTE29092B0t00"/>
          <w:sz w:val="19"/>
          <w:szCs w:val="19"/>
        </w:rPr>
        <w:t xml:space="preserve"> og støj</w:t>
      </w:r>
      <w:r>
        <w:rPr>
          <w:rFonts w:ascii="Verdana" w:hAnsi="Verdana" w:cs="TTE29092B0t00"/>
          <w:sz w:val="19"/>
          <w:szCs w:val="19"/>
        </w:rPr>
        <w:t>forurening</w:t>
      </w:r>
      <w:r w:rsidR="00A6344E">
        <w:rPr>
          <w:rFonts w:ascii="Verdana" w:hAnsi="Verdana" w:cs="TTE29092B0t00"/>
          <w:sz w:val="19"/>
          <w:szCs w:val="19"/>
        </w:rPr>
        <w:t xml:space="preserve"> i </w:t>
      </w:r>
      <w:r w:rsidR="006A0441">
        <w:rPr>
          <w:rFonts w:ascii="Verdana" w:hAnsi="Verdana" w:cs="TTE29092B0t00"/>
          <w:sz w:val="19"/>
          <w:szCs w:val="19"/>
        </w:rPr>
        <w:t>gadebilledet</w:t>
      </w:r>
      <w:r w:rsidR="008C17E6">
        <w:rPr>
          <w:rFonts w:ascii="Verdana" w:hAnsi="Verdana" w:cs="TTE29092B0t00"/>
          <w:sz w:val="19"/>
          <w:szCs w:val="19"/>
        </w:rPr>
        <w:t xml:space="preserve"> samt ekstra</w:t>
      </w:r>
      <w:r w:rsidR="000A34D8">
        <w:rPr>
          <w:rFonts w:ascii="Verdana" w:hAnsi="Verdana" w:cs="TTE29092B0t00"/>
          <w:sz w:val="19"/>
          <w:szCs w:val="19"/>
        </w:rPr>
        <w:t xml:space="preserve"> </w:t>
      </w:r>
      <w:r w:rsidR="008C17E6">
        <w:rPr>
          <w:rFonts w:ascii="Verdana" w:hAnsi="Verdana" w:cs="TTE29092B0t00"/>
          <w:sz w:val="19"/>
          <w:szCs w:val="19"/>
        </w:rPr>
        <w:t xml:space="preserve">omkostninger for </w:t>
      </w:r>
      <w:r w:rsidR="00E2348F">
        <w:rPr>
          <w:rFonts w:ascii="Verdana" w:hAnsi="Verdana" w:cs="TTE29092B0t00"/>
          <w:sz w:val="19"/>
          <w:szCs w:val="19"/>
        </w:rPr>
        <w:t>transport</w:t>
      </w:r>
      <w:r w:rsidR="003D241A">
        <w:rPr>
          <w:rFonts w:ascii="Verdana" w:hAnsi="Verdana" w:cs="TTE29092B0t00"/>
          <w:sz w:val="19"/>
          <w:szCs w:val="19"/>
        </w:rPr>
        <w:t>erhverv</w:t>
      </w:r>
      <w:r w:rsidR="00E2348F">
        <w:rPr>
          <w:rFonts w:ascii="Verdana" w:hAnsi="Verdana" w:cs="TTE29092B0t00"/>
          <w:sz w:val="19"/>
          <w:szCs w:val="19"/>
        </w:rPr>
        <w:t>et</w:t>
      </w:r>
      <w:r w:rsidR="008C17E6">
        <w:rPr>
          <w:rFonts w:ascii="Verdana" w:hAnsi="Verdana" w:cs="TTE29092B0t00"/>
          <w:sz w:val="19"/>
          <w:szCs w:val="19"/>
        </w:rPr>
        <w:t>.</w:t>
      </w:r>
      <w:r>
        <w:rPr>
          <w:rFonts w:ascii="Verdana" w:hAnsi="Verdana" w:cs="TTE29092B0t00"/>
          <w:sz w:val="19"/>
          <w:szCs w:val="19"/>
        </w:rPr>
        <w:t xml:space="preserve"> </w:t>
      </w:r>
      <w:r w:rsidR="00E2348F">
        <w:rPr>
          <w:rFonts w:ascii="Verdana" w:hAnsi="Verdana" w:cs="TTE29092B0t00"/>
          <w:sz w:val="19"/>
          <w:szCs w:val="19"/>
        </w:rPr>
        <w:t>ITD finder</w:t>
      </w:r>
      <w:r w:rsidR="00F66A76">
        <w:rPr>
          <w:rFonts w:ascii="Verdana" w:hAnsi="Verdana" w:cs="TTE29092B0t00"/>
          <w:sz w:val="19"/>
          <w:szCs w:val="19"/>
        </w:rPr>
        <w:t xml:space="preserve"> ikke</w:t>
      </w:r>
      <w:r w:rsidR="008C17E6">
        <w:rPr>
          <w:rFonts w:ascii="Verdana" w:hAnsi="Verdana" w:cs="TTE29092B0t00"/>
          <w:sz w:val="19"/>
          <w:szCs w:val="19"/>
        </w:rPr>
        <w:t xml:space="preserve">, </w:t>
      </w:r>
      <w:r w:rsidR="00E2348F">
        <w:rPr>
          <w:rFonts w:ascii="Verdana" w:hAnsi="Verdana" w:cs="TTE29092B0t00"/>
          <w:sz w:val="19"/>
          <w:szCs w:val="19"/>
        </w:rPr>
        <w:t>at forslaget vil øge og vedligeholde</w:t>
      </w:r>
      <w:r w:rsidR="00A6344E">
        <w:rPr>
          <w:rFonts w:ascii="Verdana" w:hAnsi="Verdana" w:cs="TTE29092B0t00"/>
          <w:sz w:val="19"/>
          <w:szCs w:val="19"/>
        </w:rPr>
        <w:t xml:space="preserve"> chaufførens opmærksomhed</w:t>
      </w:r>
      <w:r w:rsidR="000A34D8">
        <w:rPr>
          <w:rFonts w:ascii="Verdana" w:hAnsi="Verdana" w:cs="TTE29092B0t00"/>
          <w:sz w:val="19"/>
          <w:szCs w:val="19"/>
        </w:rPr>
        <w:t>,</w:t>
      </w:r>
      <w:r w:rsidR="00A6344E">
        <w:rPr>
          <w:rFonts w:ascii="Verdana" w:hAnsi="Verdana" w:cs="TTE29092B0t00"/>
          <w:sz w:val="19"/>
          <w:szCs w:val="19"/>
        </w:rPr>
        <w:t xml:space="preserve"> eller </w:t>
      </w:r>
      <w:r w:rsidR="008C17E6">
        <w:rPr>
          <w:rFonts w:ascii="Verdana" w:hAnsi="Verdana" w:cs="TTE29092B0t00"/>
          <w:sz w:val="19"/>
          <w:szCs w:val="19"/>
        </w:rPr>
        <w:t xml:space="preserve">at det </w:t>
      </w:r>
      <w:r w:rsidR="00A6344E">
        <w:rPr>
          <w:rFonts w:ascii="Verdana" w:hAnsi="Verdana" w:cs="TTE29092B0t00"/>
          <w:sz w:val="19"/>
          <w:szCs w:val="19"/>
        </w:rPr>
        <w:t>over</w:t>
      </w:r>
      <w:r w:rsidR="00990FA3">
        <w:rPr>
          <w:rFonts w:ascii="Verdana" w:hAnsi="Verdana" w:cs="TTE29092B0t00"/>
          <w:sz w:val="19"/>
          <w:szCs w:val="19"/>
        </w:rPr>
        <w:t xml:space="preserve"> </w:t>
      </w:r>
      <w:r w:rsidR="00A6344E">
        <w:rPr>
          <w:rFonts w:ascii="Verdana" w:hAnsi="Verdana" w:cs="TTE29092B0t00"/>
          <w:sz w:val="19"/>
          <w:szCs w:val="19"/>
        </w:rPr>
        <w:t xml:space="preserve">for cyklisten </w:t>
      </w:r>
      <w:r w:rsidR="008C17E6">
        <w:rPr>
          <w:rFonts w:ascii="Verdana" w:hAnsi="Verdana" w:cs="TTE29092B0t00"/>
          <w:sz w:val="19"/>
          <w:szCs w:val="19"/>
        </w:rPr>
        <w:t>vil indikere</w:t>
      </w:r>
      <w:r w:rsidR="00990FA3">
        <w:rPr>
          <w:rFonts w:ascii="Verdana" w:hAnsi="Verdana" w:cs="TTE29092B0t00"/>
          <w:sz w:val="19"/>
          <w:szCs w:val="19"/>
        </w:rPr>
        <w:t>,</w:t>
      </w:r>
      <w:r w:rsidR="008C17E6">
        <w:rPr>
          <w:rFonts w:ascii="Verdana" w:hAnsi="Verdana" w:cs="TTE29092B0t00"/>
          <w:sz w:val="19"/>
          <w:szCs w:val="19"/>
        </w:rPr>
        <w:t xml:space="preserve"> om </w:t>
      </w:r>
      <w:r w:rsidR="00C30B17">
        <w:rPr>
          <w:rFonts w:ascii="Verdana" w:hAnsi="Verdana" w:cs="TTE29092B0t00"/>
          <w:sz w:val="19"/>
          <w:szCs w:val="19"/>
        </w:rPr>
        <w:t xml:space="preserve">chaufføren har </w:t>
      </w:r>
      <w:r w:rsidR="00A6344E">
        <w:rPr>
          <w:rFonts w:ascii="Verdana" w:hAnsi="Verdana" w:cs="TTE29092B0t00"/>
          <w:sz w:val="19"/>
          <w:szCs w:val="19"/>
        </w:rPr>
        <w:t>eller ikke har set vedkommende.</w:t>
      </w:r>
      <w:r w:rsidR="00F66A76">
        <w:rPr>
          <w:rFonts w:ascii="Verdana" w:hAnsi="Verdana" w:cs="TTE29092B0t00"/>
          <w:sz w:val="19"/>
          <w:szCs w:val="19"/>
        </w:rPr>
        <w:t xml:space="preserve"> </w:t>
      </w:r>
      <w:r w:rsidR="00C30B17">
        <w:rPr>
          <w:rFonts w:ascii="Verdana" w:hAnsi="Verdana" w:cs="TTE29092B0t00"/>
          <w:sz w:val="19"/>
          <w:szCs w:val="19"/>
        </w:rPr>
        <w:t>S</w:t>
      </w:r>
      <w:r w:rsidR="00E11F4B">
        <w:rPr>
          <w:rFonts w:ascii="Verdana" w:hAnsi="Verdana" w:cs="TTE29092B0t00"/>
          <w:sz w:val="19"/>
          <w:szCs w:val="19"/>
        </w:rPr>
        <w:t>ådan</w:t>
      </w:r>
      <w:r w:rsidR="00C30B17">
        <w:rPr>
          <w:rFonts w:ascii="Verdana" w:hAnsi="Verdana" w:cs="TTE29092B0t00"/>
          <w:sz w:val="19"/>
          <w:szCs w:val="19"/>
        </w:rPr>
        <w:t>ne</w:t>
      </w:r>
      <w:r w:rsidR="00E11F4B">
        <w:rPr>
          <w:rFonts w:ascii="Verdana" w:hAnsi="Verdana" w:cs="TTE29092B0t00"/>
          <w:sz w:val="19"/>
          <w:szCs w:val="19"/>
        </w:rPr>
        <w:t xml:space="preserve"> teknisk</w:t>
      </w:r>
      <w:r w:rsidR="00C30B17">
        <w:rPr>
          <w:rFonts w:ascii="Verdana" w:hAnsi="Verdana" w:cs="TTE29092B0t00"/>
          <w:sz w:val="19"/>
          <w:szCs w:val="19"/>
        </w:rPr>
        <w:t>e</w:t>
      </w:r>
      <w:r w:rsidR="00E11F4B">
        <w:rPr>
          <w:rFonts w:ascii="Verdana" w:hAnsi="Verdana" w:cs="TTE29092B0t00"/>
          <w:sz w:val="19"/>
          <w:szCs w:val="19"/>
        </w:rPr>
        <w:t xml:space="preserve"> løsning</w:t>
      </w:r>
      <w:r w:rsidR="00C30B17">
        <w:rPr>
          <w:rFonts w:ascii="Verdana" w:hAnsi="Verdana" w:cs="TTE29092B0t00"/>
          <w:sz w:val="19"/>
          <w:szCs w:val="19"/>
        </w:rPr>
        <w:t>er</w:t>
      </w:r>
      <w:r w:rsidR="00E11F4B">
        <w:rPr>
          <w:rFonts w:ascii="Verdana" w:hAnsi="Verdana" w:cs="TTE29092B0t00"/>
          <w:sz w:val="19"/>
          <w:szCs w:val="19"/>
        </w:rPr>
        <w:t xml:space="preserve"> vil</w:t>
      </w:r>
      <w:r w:rsidR="00B72712">
        <w:rPr>
          <w:rFonts w:ascii="Verdana" w:hAnsi="Verdana" w:cs="TTE29092B0t00"/>
          <w:sz w:val="19"/>
          <w:szCs w:val="19"/>
        </w:rPr>
        <w:t xml:space="preserve"> endvidere </w:t>
      </w:r>
      <w:r w:rsidR="00E11F4B">
        <w:rPr>
          <w:rFonts w:ascii="Verdana" w:hAnsi="Verdana" w:cs="TTE29092B0t00"/>
          <w:sz w:val="19"/>
          <w:szCs w:val="19"/>
        </w:rPr>
        <w:t>ikke omfatte de udenlandske lastbiler</w:t>
      </w:r>
      <w:r w:rsidR="002001D7">
        <w:rPr>
          <w:rFonts w:ascii="Verdana" w:hAnsi="Verdana" w:cs="TTE29092B0t00"/>
          <w:sz w:val="19"/>
          <w:szCs w:val="19"/>
        </w:rPr>
        <w:t xml:space="preserve">, der kører i </w:t>
      </w:r>
      <w:r w:rsidR="00990FA3">
        <w:rPr>
          <w:rFonts w:ascii="Verdana" w:hAnsi="Verdana" w:cs="TTE29092B0t00"/>
          <w:sz w:val="19"/>
          <w:szCs w:val="19"/>
        </w:rPr>
        <w:t>Danmark</w:t>
      </w:r>
      <w:r w:rsidR="00E11F4B">
        <w:rPr>
          <w:rFonts w:ascii="Verdana" w:hAnsi="Verdana" w:cs="TTE29092B0t00"/>
          <w:sz w:val="19"/>
          <w:szCs w:val="19"/>
        </w:rPr>
        <w:t>.</w:t>
      </w:r>
      <w:r w:rsidR="008814F5">
        <w:rPr>
          <w:rFonts w:ascii="Verdana" w:hAnsi="Verdana" w:cs="TTE29092B0t00"/>
          <w:sz w:val="19"/>
          <w:szCs w:val="19"/>
        </w:rPr>
        <w:t xml:space="preserve"> </w:t>
      </w:r>
    </w:p>
    <w:p w:rsidR="00F667C0" w:rsidRDefault="00F667C0" w:rsidP="00DD4C56">
      <w:pPr>
        <w:autoSpaceDE w:val="0"/>
        <w:autoSpaceDN w:val="0"/>
        <w:adjustRightInd w:val="0"/>
        <w:rPr>
          <w:rFonts w:ascii="Verdana" w:hAnsi="Verdana" w:cs="TTE29092B0t00"/>
          <w:sz w:val="19"/>
          <w:szCs w:val="19"/>
        </w:rPr>
      </w:pPr>
    </w:p>
    <w:p w:rsidR="000A535D" w:rsidRPr="000A535D" w:rsidRDefault="008012AF" w:rsidP="000A535D">
      <w:pPr>
        <w:autoSpaceDE w:val="0"/>
        <w:autoSpaceDN w:val="0"/>
        <w:adjustRightInd w:val="0"/>
        <w:rPr>
          <w:rFonts w:ascii="Verdana" w:hAnsi="Verdana" w:cs="Georgia"/>
          <w:sz w:val="19"/>
          <w:szCs w:val="19"/>
        </w:rPr>
      </w:pPr>
      <w:r>
        <w:rPr>
          <w:rFonts w:ascii="Verdana" w:hAnsi="Verdana" w:cs="TTE29092B0t00"/>
          <w:sz w:val="19"/>
          <w:szCs w:val="19"/>
        </w:rPr>
        <w:t xml:space="preserve">Afslutningsvis vil ITD gerne fremhæve </w:t>
      </w:r>
      <w:r w:rsidR="00BD08E9" w:rsidRPr="000A535D">
        <w:rPr>
          <w:rFonts w:ascii="Verdana" w:hAnsi="Verdana" w:cs="TTE29092B0t00"/>
          <w:sz w:val="19"/>
          <w:szCs w:val="19"/>
        </w:rPr>
        <w:t>Transportministeriet</w:t>
      </w:r>
      <w:r>
        <w:rPr>
          <w:rFonts w:ascii="Verdana" w:hAnsi="Verdana" w:cs="TTE29092B0t00"/>
          <w:sz w:val="19"/>
          <w:szCs w:val="19"/>
        </w:rPr>
        <w:t>s oplæg</w:t>
      </w:r>
      <w:r w:rsidR="00FC3005" w:rsidRPr="000A535D">
        <w:rPr>
          <w:rFonts w:ascii="Verdana" w:hAnsi="Verdana" w:cs="TTE29092B0t00"/>
          <w:sz w:val="19"/>
          <w:szCs w:val="19"/>
        </w:rPr>
        <w:t xml:space="preserve"> ”Nye mål for trafiksikkerheden”, der er en del af de politiske aftaler om en grøn transportpolitik fra 2009</w:t>
      </w:r>
      <w:r w:rsidR="001C741A">
        <w:rPr>
          <w:rFonts w:ascii="Verdana" w:hAnsi="Verdana" w:cs="TTE29092B0t00"/>
          <w:sz w:val="19"/>
          <w:szCs w:val="19"/>
        </w:rPr>
        <w:t>. Her tages der blandt</w:t>
      </w:r>
      <w:r>
        <w:rPr>
          <w:rFonts w:ascii="Verdana" w:hAnsi="Verdana" w:cs="TTE29092B0t00"/>
          <w:sz w:val="19"/>
          <w:szCs w:val="19"/>
        </w:rPr>
        <w:t xml:space="preserve"> andet </w:t>
      </w:r>
      <w:r w:rsidR="00BD08E9" w:rsidRPr="000A535D">
        <w:rPr>
          <w:rFonts w:ascii="Verdana" w:hAnsi="Verdana" w:cs="TTE29092B0t00"/>
          <w:sz w:val="19"/>
          <w:szCs w:val="19"/>
        </w:rPr>
        <w:t>initiativ til</w:t>
      </w:r>
      <w:r w:rsidR="000A535D" w:rsidRPr="000A535D">
        <w:rPr>
          <w:rFonts w:ascii="Verdana" w:hAnsi="Verdana" w:cs="TTE29092B0t00"/>
          <w:sz w:val="19"/>
          <w:szCs w:val="19"/>
        </w:rPr>
        <w:t>,</w:t>
      </w:r>
      <w:r w:rsidR="00BD08E9" w:rsidRPr="000A535D">
        <w:rPr>
          <w:rFonts w:ascii="Verdana" w:hAnsi="Verdana" w:cs="TTE29092B0t00"/>
          <w:sz w:val="19"/>
          <w:szCs w:val="19"/>
        </w:rPr>
        <w:t xml:space="preserve"> at </w:t>
      </w:r>
      <w:r w:rsidR="00BD08E9" w:rsidRPr="000A535D">
        <w:rPr>
          <w:rFonts w:ascii="Verdana" w:hAnsi="Verdana" w:cs="Georgia"/>
          <w:sz w:val="19"/>
          <w:szCs w:val="19"/>
        </w:rPr>
        <w:t>samtlige relevante lyskryds på det statslige vejnet inden udgangen af 2010 bliver indrettet på en måde, der forebygger højresvingsulykker.</w:t>
      </w:r>
      <w:r>
        <w:rPr>
          <w:rFonts w:ascii="Verdana" w:hAnsi="Verdana" w:cs="Georgia"/>
          <w:sz w:val="19"/>
          <w:szCs w:val="19"/>
        </w:rPr>
        <w:t xml:space="preserve"> Formålet er – g</w:t>
      </w:r>
      <w:r w:rsidR="00BD08E9" w:rsidRPr="000A535D">
        <w:rPr>
          <w:rFonts w:ascii="Verdana" w:hAnsi="Verdana" w:cs="Georgia"/>
          <w:sz w:val="19"/>
          <w:szCs w:val="19"/>
        </w:rPr>
        <w:t>ennem</w:t>
      </w:r>
      <w:r>
        <w:rPr>
          <w:rFonts w:ascii="Verdana" w:hAnsi="Verdana" w:cs="Georgia"/>
          <w:sz w:val="19"/>
          <w:szCs w:val="19"/>
        </w:rPr>
        <w:t xml:space="preserve"> en</w:t>
      </w:r>
      <w:r w:rsidR="00BD08E9" w:rsidRPr="000A535D">
        <w:rPr>
          <w:rFonts w:ascii="Verdana" w:hAnsi="Verdana" w:cs="Georgia"/>
          <w:sz w:val="19"/>
          <w:szCs w:val="19"/>
        </w:rPr>
        <w:t xml:space="preserve"> sikke</w:t>
      </w:r>
      <w:r>
        <w:rPr>
          <w:rFonts w:ascii="Verdana" w:hAnsi="Verdana" w:cs="Georgia"/>
          <w:sz w:val="19"/>
          <w:szCs w:val="19"/>
        </w:rPr>
        <w:t>r indretning af infrastrukturen - at gøre</w:t>
      </w:r>
      <w:r w:rsidR="00BD08E9" w:rsidRPr="000A535D">
        <w:rPr>
          <w:rFonts w:ascii="Verdana" w:hAnsi="Verdana" w:cs="Georgia"/>
          <w:sz w:val="19"/>
          <w:szCs w:val="19"/>
        </w:rPr>
        <w:t xml:space="preserve"> cyklisterne mere synlige for den tunge trafik.</w:t>
      </w:r>
      <w:r w:rsidR="00FC3005" w:rsidRPr="000A535D">
        <w:rPr>
          <w:rFonts w:ascii="Verdana" w:hAnsi="Verdana" w:cs="TTE29092B0t00"/>
          <w:sz w:val="19"/>
          <w:szCs w:val="19"/>
        </w:rPr>
        <w:t xml:space="preserve"> </w:t>
      </w:r>
      <w:r w:rsidR="000A535D" w:rsidRPr="000A535D">
        <w:rPr>
          <w:rFonts w:ascii="Verdana" w:hAnsi="Verdana" w:cs="TTE29092B0t00"/>
          <w:sz w:val="19"/>
          <w:szCs w:val="19"/>
        </w:rPr>
        <w:t xml:space="preserve">Transportministeriet peger </w:t>
      </w:r>
      <w:r>
        <w:rPr>
          <w:rFonts w:ascii="Verdana" w:hAnsi="Verdana" w:cs="TTE29092B0t00"/>
          <w:sz w:val="19"/>
          <w:szCs w:val="19"/>
        </w:rPr>
        <w:t xml:space="preserve">i denne sammenhæng </w:t>
      </w:r>
      <w:r w:rsidR="000A535D" w:rsidRPr="000A535D">
        <w:rPr>
          <w:rFonts w:ascii="Verdana" w:hAnsi="Verdana" w:cs="TTE29092B0t00"/>
          <w:sz w:val="19"/>
          <w:szCs w:val="19"/>
        </w:rPr>
        <w:t xml:space="preserve">selv på </w:t>
      </w:r>
      <w:r w:rsidR="000A535D" w:rsidRPr="000A535D">
        <w:rPr>
          <w:rFonts w:ascii="Verdana" w:hAnsi="Verdana" w:cs="Georgia"/>
          <w:sz w:val="19"/>
          <w:szCs w:val="19"/>
        </w:rPr>
        <w:t>fire tiltag, der kan være medvirkende til at skabe større sikkerhed for cyklister i kryds:</w:t>
      </w:r>
    </w:p>
    <w:p w:rsidR="000A535D" w:rsidRPr="000A535D" w:rsidRDefault="000A535D" w:rsidP="000A535D">
      <w:pPr>
        <w:autoSpaceDE w:val="0"/>
        <w:autoSpaceDN w:val="0"/>
        <w:adjustRightInd w:val="0"/>
        <w:rPr>
          <w:rFonts w:ascii="Verdana" w:hAnsi="Verdana" w:cs="Georgia"/>
          <w:sz w:val="19"/>
          <w:szCs w:val="19"/>
        </w:rPr>
      </w:pPr>
    </w:p>
    <w:p w:rsidR="000A535D" w:rsidRPr="000A535D" w:rsidRDefault="000A535D" w:rsidP="000A535D">
      <w:pPr>
        <w:autoSpaceDE w:val="0"/>
        <w:autoSpaceDN w:val="0"/>
        <w:adjustRightInd w:val="0"/>
        <w:rPr>
          <w:rFonts w:ascii="Verdana" w:hAnsi="Verdana" w:cs="Georgia"/>
          <w:sz w:val="19"/>
          <w:szCs w:val="19"/>
        </w:rPr>
      </w:pPr>
      <w:r w:rsidRPr="000A535D">
        <w:rPr>
          <w:rFonts w:ascii="Verdana" w:hAnsi="Verdana" w:cs="Symbol"/>
          <w:sz w:val="19"/>
          <w:szCs w:val="19"/>
        </w:rPr>
        <w:t xml:space="preserve">• </w:t>
      </w:r>
      <w:r w:rsidR="00990FA3">
        <w:rPr>
          <w:rFonts w:ascii="Verdana" w:hAnsi="Verdana" w:cs="Georgia"/>
          <w:sz w:val="19"/>
          <w:szCs w:val="19"/>
        </w:rPr>
        <w:t>Tilbagetrukket</w:t>
      </w:r>
      <w:r w:rsidRPr="000A535D">
        <w:rPr>
          <w:rFonts w:ascii="Verdana" w:hAnsi="Verdana" w:cs="Georgia"/>
          <w:sz w:val="19"/>
          <w:szCs w:val="19"/>
        </w:rPr>
        <w:t xml:space="preserve"> stopstreg for højresvingende køretøjer</w:t>
      </w:r>
    </w:p>
    <w:p w:rsidR="000A535D" w:rsidRPr="000A535D" w:rsidRDefault="000A535D" w:rsidP="000A535D">
      <w:pPr>
        <w:autoSpaceDE w:val="0"/>
        <w:autoSpaceDN w:val="0"/>
        <w:adjustRightInd w:val="0"/>
        <w:rPr>
          <w:rFonts w:ascii="Verdana" w:hAnsi="Verdana" w:cs="Georgia"/>
          <w:sz w:val="19"/>
          <w:szCs w:val="19"/>
        </w:rPr>
      </w:pPr>
      <w:r w:rsidRPr="000A535D">
        <w:rPr>
          <w:rFonts w:ascii="Verdana" w:hAnsi="Verdana" w:cs="Symbol"/>
          <w:sz w:val="19"/>
          <w:szCs w:val="19"/>
        </w:rPr>
        <w:t xml:space="preserve">• </w:t>
      </w:r>
      <w:r w:rsidRPr="000A535D">
        <w:rPr>
          <w:rFonts w:ascii="Verdana" w:hAnsi="Verdana" w:cs="Georgia"/>
          <w:sz w:val="19"/>
          <w:szCs w:val="19"/>
        </w:rPr>
        <w:t>Afkortet cykelsti op til kryds</w:t>
      </w:r>
    </w:p>
    <w:p w:rsidR="000A535D" w:rsidRPr="000A535D" w:rsidRDefault="000A535D" w:rsidP="000A535D">
      <w:pPr>
        <w:autoSpaceDE w:val="0"/>
        <w:autoSpaceDN w:val="0"/>
        <w:adjustRightInd w:val="0"/>
        <w:rPr>
          <w:rFonts w:ascii="Verdana" w:hAnsi="Verdana" w:cs="Georgia"/>
          <w:sz w:val="19"/>
          <w:szCs w:val="19"/>
        </w:rPr>
      </w:pPr>
      <w:r w:rsidRPr="000A535D">
        <w:rPr>
          <w:rFonts w:ascii="Verdana" w:hAnsi="Verdana" w:cs="Symbol"/>
          <w:sz w:val="19"/>
          <w:szCs w:val="19"/>
        </w:rPr>
        <w:t xml:space="preserve">• </w:t>
      </w:r>
      <w:r w:rsidRPr="000A535D">
        <w:rPr>
          <w:rFonts w:ascii="Verdana" w:hAnsi="Verdana" w:cs="Georgia"/>
          <w:sz w:val="19"/>
          <w:szCs w:val="19"/>
        </w:rPr>
        <w:t>Separat lysregulering for bløde trafikanter og højresvingende køretøjer</w:t>
      </w:r>
    </w:p>
    <w:p w:rsidR="000A535D" w:rsidRPr="000A535D" w:rsidRDefault="000A535D" w:rsidP="000A535D">
      <w:pPr>
        <w:autoSpaceDE w:val="0"/>
        <w:autoSpaceDN w:val="0"/>
        <w:adjustRightInd w:val="0"/>
        <w:rPr>
          <w:rFonts w:ascii="Verdana" w:hAnsi="Verdana" w:cs="TTE29092B0t00"/>
          <w:sz w:val="19"/>
          <w:szCs w:val="19"/>
        </w:rPr>
      </w:pPr>
      <w:r w:rsidRPr="000A535D">
        <w:rPr>
          <w:rFonts w:ascii="Verdana" w:hAnsi="Verdana" w:cs="Symbol"/>
          <w:sz w:val="19"/>
          <w:szCs w:val="19"/>
        </w:rPr>
        <w:t xml:space="preserve">• </w:t>
      </w:r>
      <w:r w:rsidRPr="000A535D">
        <w:rPr>
          <w:rFonts w:ascii="Verdana" w:hAnsi="Verdana" w:cs="Georgia"/>
          <w:sz w:val="19"/>
          <w:szCs w:val="19"/>
        </w:rPr>
        <w:t>Grønt lys for cyklister før den øvrige trafik</w:t>
      </w:r>
    </w:p>
    <w:p w:rsidR="00F8316A" w:rsidRPr="000A535D" w:rsidRDefault="00F8316A" w:rsidP="00BD08E9">
      <w:pPr>
        <w:autoSpaceDE w:val="0"/>
        <w:autoSpaceDN w:val="0"/>
        <w:adjustRightInd w:val="0"/>
        <w:rPr>
          <w:rFonts w:ascii="Verdana" w:hAnsi="Verdana" w:cs="TTE29092B0t00"/>
          <w:sz w:val="19"/>
          <w:szCs w:val="19"/>
        </w:rPr>
      </w:pPr>
    </w:p>
    <w:p w:rsidR="003D241A" w:rsidRPr="000A535D" w:rsidRDefault="008814F5" w:rsidP="00BD08E9">
      <w:pPr>
        <w:autoSpaceDE w:val="0"/>
        <w:autoSpaceDN w:val="0"/>
        <w:adjustRightInd w:val="0"/>
        <w:rPr>
          <w:rFonts w:ascii="Verdana" w:hAnsi="Verdana" w:cs="TTE29092B0t00"/>
          <w:sz w:val="19"/>
          <w:szCs w:val="19"/>
        </w:rPr>
      </w:pPr>
      <w:r>
        <w:rPr>
          <w:rFonts w:ascii="Verdana" w:hAnsi="Verdana" w:cs="TTE29092B0t00"/>
          <w:sz w:val="19"/>
          <w:szCs w:val="19"/>
        </w:rPr>
        <w:t>ITD kan kun opfordre</w:t>
      </w:r>
      <w:r w:rsidR="00A25E81" w:rsidRPr="000A535D">
        <w:rPr>
          <w:rFonts w:ascii="Verdana" w:hAnsi="Verdana" w:cs="TTE29092B0t00"/>
          <w:sz w:val="19"/>
          <w:szCs w:val="19"/>
        </w:rPr>
        <w:t xml:space="preserve"> </w:t>
      </w:r>
      <w:r w:rsidR="00706BAC">
        <w:rPr>
          <w:rFonts w:ascii="Verdana" w:hAnsi="Verdana" w:cs="TTE29092B0t00"/>
          <w:sz w:val="19"/>
          <w:szCs w:val="19"/>
        </w:rPr>
        <w:t>til</w:t>
      </w:r>
      <w:r>
        <w:rPr>
          <w:rFonts w:ascii="Verdana" w:hAnsi="Verdana" w:cs="TTE29092B0t00"/>
          <w:sz w:val="19"/>
          <w:szCs w:val="19"/>
        </w:rPr>
        <w:t>,</w:t>
      </w:r>
      <w:r w:rsidR="00A25E81" w:rsidRPr="000A535D">
        <w:rPr>
          <w:rFonts w:ascii="Verdana" w:hAnsi="Verdana" w:cs="TTE29092B0t00"/>
          <w:sz w:val="19"/>
          <w:szCs w:val="19"/>
        </w:rPr>
        <w:t xml:space="preserve"> at </w:t>
      </w:r>
      <w:r w:rsidR="00706BAC">
        <w:rPr>
          <w:rFonts w:ascii="Verdana" w:hAnsi="Verdana" w:cs="TTE29092B0t00"/>
          <w:sz w:val="19"/>
          <w:szCs w:val="19"/>
        </w:rPr>
        <w:t>der arbejdes</w:t>
      </w:r>
      <w:r w:rsidR="0028006E">
        <w:rPr>
          <w:rFonts w:ascii="Verdana" w:hAnsi="Verdana" w:cs="TTE29092B0t00"/>
          <w:sz w:val="19"/>
          <w:szCs w:val="19"/>
        </w:rPr>
        <w:t xml:space="preserve"> videre med disse</w:t>
      </w:r>
      <w:r w:rsidR="00A25E81" w:rsidRPr="000A535D">
        <w:rPr>
          <w:rFonts w:ascii="Verdana" w:hAnsi="Verdana" w:cs="TTE29092B0t00"/>
          <w:sz w:val="19"/>
          <w:szCs w:val="19"/>
        </w:rPr>
        <w:t xml:space="preserve"> </w:t>
      </w:r>
      <w:r w:rsidR="0028006E">
        <w:rPr>
          <w:rFonts w:ascii="Verdana" w:hAnsi="Verdana" w:cs="TTE29092B0t00"/>
          <w:sz w:val="19"/>
          <w:szCs w:val="19"/>
        </w:rPr>
        <w:t>tiltag</w:t>
      </w:r>
      <w:r w:rsidR="00F27D67">
        <w:rPr>
          <w:rFonts w:ascii="Verdana" w:hAnsi="Verdana" w:cs="TTE29092B0t00"/>
          <w:sz w:val="19"/>
          <w:szCs w:val="19"/>
        </w:rPr>
        <w:t xml:space="preserve"> - ikke kun på de</w:t>
      </w:r>
      <w:r w:rsidR="0028006E">
        <w:rPr>
          <w:rFonts w:ascii="Verdana" w:hAnsi="Verdana" w:cs="TTE29092B0t00"/>
          <w:sz w:val="19"/>
          <w:szCs w:val="19"/>
        </w:rPr>
        <w:t xml:space="preserve"> statslige veje, men også </w:t>
      </w:r>
      <w:r w:rsidR="00F27D67">
        <w:rPr>
          <w:rFonts w:ascii="Verdana" w:hAnsi="Verdana" w:cs="TTE29092B0t00"/>
          <w:sz w:val="19"/>
          <w:szCs w:val="19"/>
        </w:rPr>
        <w:t xml:space="preserve">på </w:t>
      </w:r>
      <w:r w:rsidR="0028006E">
        <w:rPr>
          <w:rFonts w:ascii="Verdana" w:hAnsi="Verdana" w:cs="TTE29092B0t00"/>
          <w:sz w:val="19"/>
          <w:szCs w:val="19"/>
        </w:rPr>
        <w:t>de kommunale veje</w:t>
      </w:r>
      <w:r w:rsidR="00F27D67">
        <w:rPr>
          <w:rFonts w:ascii="Verdana" w:hAnsi="Verdana" w:cs="TTE29092B0t00"/>
          <w:sz w:val="19"/>
          <w:szCs w:val="19"/>
        </w:rPr>
        <w:t>. Indsatsområderne må</w:t>
      </w:r>
      <w:r>
        <w:rPr>
          <w:rFonts w:ascii="Verdana" w:hAnsi="Verdana" w:cs="TTE29092B0t00"/>
          <w:sz w:val="19"/>
          <w:szCs w:val="19"/>
        </w:rPr>
        <w:t xml:space="preserve"> som udgangspunkt</w:t>
      </w:r>
      <w:r w:rsidR="00F27D67">
        <w:rPr>
          <w:rFonts w:ascii="Verdana" w:hAnsi="Verdana" w:cs="TTE29092B0t00"/>
          <w:sz w:val="19"/>
          <w:szCs w:val="19"/>
        </w:rPr>
        <w:t xml:space="preserve"> være </w:t>
      </w:r>
      <w:r>
        <w:rPr>
          <w:rFonts w:ascii="Verdana" w:hAnsi="Verdana" w:cs="TTE29092B0t00"/>
          <w:sz w:val="19"/>
          <w:szCs w:val="19"/>
        </w:rPr>
        <w:t>i de trafikale knudepunkter</w:t>
      </w:r>
      <w:r w:rsidR="00F27D67">
        <w:rPr>
          <w:rFonts w:ascii="Verdana" w:hAnsi="Verdana" w:cs="TTE29092B0t00"/>
          <w:sz w:val="19"/>
          <w:szCs w:val="19"/>
        </w:rPr>
        <w:t>, hvor der</w:t>
      </w:r>
      <w:r>
        <w:rPr>
          <w:rFonts w:ascii="Verdana" w:hAnsi="Verdana" w:cs="TTE29092B0t00"/>
          <w:sz w:val="19"/>
          <w:szCs w:val="19"/>
        </w:rPr>
        <w:t xml:space="preserve"> færdes mange cyklister</w:t>
      </w:r>
      <w:r w:rsidR="00990FA3">
        <w:rPr>
          <w:rFonts w:ascii="Verdana" w:hAnsi="Verdana" w:cs="TTE29092B0t00"/>
          <w:sz w:val="19"/>
          <w:szCs w:val="19"/>
        </w:rPr>
        <w:t>,</w:t>
      </w:r>
      <w:r>
        <w:rPr>
          <w:rFonts w:ascii="Verdana" w:hAnsi="Verdana" w:cs="TTE29092B0t00"/>
          <w:sz w:val="19"/>
          <w:szCs w:val="19"/>
        </w:rPr>
        <w:t xml:space="preserve"> </w:t>
      </w:r>
      <w:r w:rsidR="0028006E">
        <w:rPr>
          <w:rFonts w:ascii="Verdana" w:hAnsi="Verdana" w:cs="TTE29092B0t00"/>
          <w:sz w:val="19"/>
          <w:szCs w:val="19"/>
        </w:rPr>
        <w:t>og hvor ulykkerne kan forventes at optræde.</w:t>
      </w:r>
      <w:r>
        <w:rPr>
          <w:rFonts w:ascii="Verdana" w:hAnsi="Verdana" w:cs="TTE29092B0t00"/>
          <w:sz w:val="19"/>
          <w:szCs w:val="19"/>
        </w:rPr>
        <w:t xml:space="preserve"> På sigt og efter en evaluering af effekterne kunne det overvejes at udbrede tiltagene generelt til det danske vej- og cykelstinet.</w:t>
      </w:r>
    </w:p>
    <w:p w:rsidR="00A25E81" w:rsidRPr="00AD6E93" w:rsidRDefault="00A25E81" w:rsidP="00DD4C56">
      <w:pPr>
        <w:autoSpaceDE w:val="0"/>
        <w:autoSpaceDN w:val="0"/>
        <w:adjustRightInd w:val="0"/>
        <w:rPr>
          <w:rFonts w:ascii="Verdana" w:hAnsi="Verdana" w:cs="TTE29092B0t00"/>
          <w:sz w:val="19"/>
          <w:szCs w:val="19"/>
        </w:rPr>
      </w:pPr>
    </w:p>
    <w:p w:rsidR="00F8316A" w:rsidRPr="00AD6E93" w:rsidRDefault="00F8316A" w:rsidP="00AD6E93">
      <w:pPr>
        <w:autoSpaceDE w:val="0"/>
        <w:autoSpaceDN w:val="0"/>
        <w:adjustRightInd w:val="0"/>
        <w:rPr>
          <w:rFonts w:ascii="Verdana" w:hAnsi="Verdana" w:cs="TTE294CA20t00"/>
          <w:sz w:val="19"/>
          <w:szCs w:val="19"/>
        </w:rPr>
      </w:pPr>
      <w:r w:rsidRPr="00AD6E93">
        <w:rPr>
          <w:rFonts w:ascii="Verdana" w:hAnsi="Verdana" w:cs="TTE294CA20t00"/>
          <w:sz w:val="19"/>
          <w:szCs w:val="19"/>
        </w:rPr>
        <w:t xml:space="preserve">I ”Nye mål for trafiksikkerheden” </w:t>
      </w:r>
      <w:r w:rsidR="00342053" w:rsidRPr="00AD6E93">
        <w:rPr>
          <w:rFonts w:ascii="Verdana" w:hAnsi="Verdana" w:cs="TTE294CA20t00"/>
          <w:sz w:val="19"/>
          <w:szCs w:val="19"/>
        </w:rPr>
        <w:t>peger Transportministeriet</w:t>
      </w:r>
      <w:r w:rsidR="00563FD1">
        <w:rPr>
          <w:rFonts w:ascii="Verdana" w:hAnsi="Verdana" w:cs="TTE294CA20t00"/>
          <w:sz w:val="19"/>
          <w:szCs w:val="19"/>
        </w:rPr>
        <w:t xml:space="preserve"> desuden</w:t>
      </w:r>
      <w:r w:rsidR="00342053" w:rsidRPr="00AD6E93">
        <w:rPr>
          <w:rFonts w:ascii="Verdana" w:hAnsi="Verdana" w:cs="TTE294CA20t00"/>
          <w:sz w:val="19"/>
          <w:szCs w:val="19"/>
        </w:rPr>
        <w:t xml:space="preserve"> på, at m</w:t>
      </w:r>
      <w:r w:rsidR="00342053" w:rsidRPr="00AD6E93">
        <w:rPr>
          <w:rFonts w:ascii="Verdana" w:hAnsi="Verdana" w:cs="Georgia"/>
          <w:sz w:val="19"/>
          <w:szCs w:val="19"/>
        </w:rPr>
        <w:t xml:space="preserve">ange højresvingsulykker kan forebygges, hvis lastbilernes </w:t>
      </w:r>
      <w:r w:rsidR="00F956F1" w:rsidRPr="00AD6E93">
        <w:rPr>
          <w:rFonts w:ascii="Verdana" w:hAnsi="Verdana" w:cs="Georgia"/>
          <w:sz w:val="19"/>
          <w:szCs w:val="19"/>
        </w:rPr>
        <w:t>førerhuse bliver bedre udformet</w:t>
      </w:r>
      <w:r w:rsidR="00BD5144" w:rsidRPr="00AD6E93">
        <w:rPr>
          <w:rFonts w:ascii="Verdana" w:hAnsi="Verdana" w:cs="Georgia"/>
          <w:sz w:val="19"/>
          <w:szCs w:val="19"/>
        </w:rPr>
        <w:t>. M</w:t>
      </w:r>
      <w:r w:rsidR="00900BCC" w:rsidRPr="00AD6E93">
        <w:rPr>
          <w:rFonts w:ascii="Verdana" w:hAnsi="Verdana" w:cs="Georgia"/>
          <w:sz w:val="19"/>
          <w:szCs w:val="19"/>
        </w:rPr>
        <w:t>inisteriet</w:t>
      </w:r>
      <w:r w:rsidR="00BD5144" w:rsidRPr="00AD6E93">
        <w:rPr>
          <w:rFonts w:ascii="Verdana" w:hAnsi="Verdana" w:cs="Georgia"/>
          <w:sz w:val="19"/>
          <w:szCs w:val="19"/>
        </w:rPr>
        <w:t xml:space="preserve"> vil derfor</w:t>
      </w:r>
      <w:r w:rsidR="00F956F1" w:rsidRPr="00AD6E93">
        <w:rPr>
          <w:rFonts w:ascii="Verdana" w:hAnsi="Verdana" w:cs="Georgia"/>
          <w:sz w:val="19"/>
          <w:szCs w:val="19"/>
        </w:rPr>
        <w:t xml:space="preserve"> arbejde på, at der i EU stilles krav til bedre direkte udsyn fra lastbiler.</w:t>
      </w:r>
      <w:r w:rsidR="00715CF3" w:rsidRPr="00AD6E93">
        <w:rPr>
          <w:rFonts w:ascii="Verdana" w:hAnsi="Verdana" w:cs="Georgia"/>
          <w:sz w:val="19"/>
          <w:szCs w:val="19"/>
        </w:rPr>
        <w:t xml:space="preserve"> ITD er enig i</w:t>
      </w:r>
      <w:r w:rsidR="00990FA3">
        <w:rPr>
          <w:rFonts w:ascii="Verdana" w:hAnsi="Verdana" w:cs="Georgia"/>
          <w:sz w:val="19"/>
          <w:szCs w:val="19"/>
        </w:rPr>
        <w:t>,</w:t>
      </w:r>
      <w:r w:rsidR="00715CF3" w:rsidRPr="00AD6E93">
        <w:rPr>
          <w:rFonts w:ascii="Verdana" w:hAnsi="Verdana" w:cs="Georgia"/>
          <w:sz w:val="19"/>
          <w:szCs w:val="19"/>
        </w:rPr>
        <w:t xml:space="preserve"> at der bør arbejdes for et bedre udsyn. Foreningen </w:t>
      </w:r>
      <w:r w:rsidR="00AD6E93" w:rsidRPr="00AD6E93">
        <w:rPr>
          <w:rFonts w:ascii="Verdana" w:hAnsi="Verdana" w:cs="Georgia"/>
          <w:sz w:val="19"/>
          <w:szCs w:val="19"/>
        </w:rPr>
        <w:t>vil dog umiddelbart fraråde</w:t>
      </w:r>
      <w:r w:rsidR="0056643D">
        <w:rPr>
          <w:rFonts w:ascii="Verdana" w:hAnsi="Verdana" w:cs="Georgia"/>
          <w:sz w:val="19"/>
          <w:szCs w:val="19"/>
        </w:rPr>
        <w:t>, at</w:t>
      </w:r>
      <w:r w:rsidR="00BD5144" w:rsidRPr="00AD6E93">
        <w:rPr>
          <w:rFonts w:ascii="Verdana" w:hAnsi="Verdana" w:cs="Georgia"/>
          <w:sz w:val="19"/>
          <w:szCs w:val="19"/>
        </w:rPr>
        <w:t xml:space="preserve"> bedre udsyn </w:t>
      </w:r>
      <w:r w:rsidR="0056643D">
        <w:rPr>
          <w:rFonts w:ascii="Verdana" w:hAnsi="Verdana" w:cs="Georgia"/>
          <w:sz w:val="19"/>
          <w:szCs w:val="19"/>
        </w:rPr>
        <w:t xml:space="preserve">overvejende </w:t>
      </w:r>
      <w:r w:rsidR="00BD5144" w:rsidRPr="00AD6E93">
        <w:rPr>
          <w:rFonts w:ascii="Verdana" w:hAnsi="Verdana" w:cs="Georgia"/>
          <w:sz w:val="19"/>
          <w:szCs w:val="19"/>
        </w:rPr>
        <w:t>imødegås ved hjælp af lavere førerhuse</w:t>
      </w:r>
      <w:r w:rsidR="00AD6E93" w:rsidRPr="00AD6E93">
        <w:rPr>
          <w:rFonts w:ascii="Verdana" w:hAnsi="Verdana" w:cs="Georgia"/>
          <w:sz w:val="19"/>
          <w:szCs w:val="19"/>
        </w:rPr>
        <w:t xml:space="preserve"> – et tiltag, der senest har været til diskussion i forbindelse </w:t>
      </w:r>
      <w:r w:rsidR="00990FA3">
        <w:rPr>
          <w:rFonts w:ascii="Verdana" w:hAnsi="Verdana" w:cs="Georgia"/>
          <w:sz w:val="19"/>
          <w:szCs w:val="19"/>
        </w:rPr>
        <w:t>med udarbejdelsen af Københavns K</w:t>
      </w:r>
      <w:r w:rsidR="00AD6E93" w:rsidRPr="00AD6E93">
        <w:rPr>
          <w:rFonts w:ascii="Verdana" w:hAnsi="Verdana" w:cs="Georgia"/>
          <w:sz w:val="19"/>
          <w:szCs w:val="19"/>
        </w:rPr>
        <w:t xml:space="preserve">ommunes strategi for tunge køretøjer. </w:t>
      </w:r>
      <w:r w:rsidRPr="00AD6E93">
        <w:rPr>
          <w:rFonts w:ascii="Verdana" w:hAnsi="Verdana" w:cs="TTE294CA20t00"/>
          <w:sz w:val="19"/>
          <w:szCs w:val="19"/>
        </w:rPr>
        <w:t xml:space="preserve">I dag anvendes de samme typer lastbiler til by, regional, national og international kørsel. </w:t>
      </w:r>
      <w:r w:rsidR="0056643D">
        <w:rPr>
          <w:rFonts w:ascii="Verdana" w:hAnsi="Verdana" w:cs="TTE294CA20t00"/>
          <w:sz w:val="19"/>
          <w:szCs w:val="19"/>
        </w:rPr>
        <w:t>Tiltag</w:t>
      </w:r>
      <w:r w:rsidR="00990FA3">
        <w:rPr>
          <w:rFonts w:ascii="Verdana" w:hAnsi="Verdana" w:cs="TTE294CA20t00"/>
          <w:sz w:val="19"/>
          <w:szCs w:val="19"/>
        </w:rPr>
        <w:t>,</w:t>
      </w:r>
      <w:r w:rsidR="0056643D">
        <w:rPr>
          <w:rFonts w:ascii="Verdana" w:hAnsi="Verdana" w:cs="TTE294CA20t00"/>
          <w:sz w:val="19"/>
          <w:szCs w:val="19"/>
        </w:rPr>
        <w:t xml:space="preserve"> der</w:t>
      </w:r>
      <w:r w:rsidRPr="00AD6E93">
        <w:rPr>
          <w:rFonts w:ascii="Verdana" w:hAnsi="Verdana" w:cs="TTE294CA20t00"/>
          <w:sz w:val="19"/>
          <w:szCs w:val="19"/>
        </w:rPr>
        <w:t xml:space="preserve"> </w:t>
      </w:r>
      <w:r w:rsidR="0056643D">
        <w:rPr>
          <w:rFonts w:ascii="Verdana" w:hAnsi="Verdana" w:cs="TTE294CA20t00"/>
          <w:sz w:val="19"/>
          <w:szCs w:val="19"/>
        </w:rPr>
        <w:t xml:space="preserve">kræver lave førerhuse </w:t>
      </w:r>
      <w:r w:rsidRPr="00AD6E93">
        <w:rPr>
          <w:rFonts w:ascii="Verdana" w:hAnsi="Verdana" w:cs="TTE294CA20t00"/>
          <w:sz w:val="19"/>
          <w:szCs w:val="19"/>
        </w:rPr>
        <w:t xml:space="preserve">betyder, at </w:t>
      </w:r>
      <w:r w:rsidR="0056643D">
        <w:rPr>
          <w:rFonts w:ascii="Verdana" w:hAnsi="Verdana" w:cs="TTE294CA20t00"/>
          <w:sz w:val="19"/>
          <w:szCs w:val="19"/>
        </w:rPr>
        <w:t>erhvervet</w:t>
      </w:r>
      <w:r w:rsidRPr="00AD6E93">
        <w:rPr>
          <w:rFonts w:ascii="Verdana" w:hAnsi="Verdana" w:cs="TTE294CA20t00"/>
          <w:sz w:val="19"/>
          <w:szCs w:val="19"/>
        </w:rPr>
        <w:t xml:space="preserve"> skal ud og investere i nye lastbiler, der udelukkende </w:t>
      </w:r>
      <w:r w:rsidRPr="00AD6E93">
        <w:rPr>
          <w:rFonts w:ascii="Verdana" w:hAnsi="Verdana" w:cs="TTE294CA20t00"/>
          <w:sz w:val="19"/>
          <w:szCs w:val="19"/>
        </w:rPr>
        <w:lastRenderedPageBreak/>
        <w:t>kan bruges til bykørsel. De lave førerhuse egner sig ikke specielt til de l</w:t>
      </w:r>
      <w:r w:rsidR="0056643D">
        <w:rPr>
          <w:rFonts w:ascii="Verdana" w:hAnsi="Verdana" w:cs="TTE294CA20t00"/>
          <w:sz w:val="19"/>
          <w:szCs w:val="19"/>
        </w:rPr>
        <w:t>ange distancer rent køreteknisk</w:t>
      </w:r>
      <w:r w:rsidR="00990FA3">
        <w:rPr>
          <w:rFonts w:ascii="Verdana" w:hAnsi="Verdana" w:cs="TTE294CA20t00"/>
          <w:sz w:val="19"/>
          <w:szCs w:val="19"/>
        </w:rPr>
        <w:t>,</w:t>
      </w:r>
      <w:r w:rsidR="0056643D">
        <w:rPr>
          <w:rFonts w:ascii="Verdana" w:hAnsi="Verdana" w:cs="TTE294CA20t00"/>
          <w:sz w:val="19"/>
          <w:szCs w:val="19"/>
        </w:rPr>
        <w:t xml:space="preserve"> og</w:t>
      </w:r>
      <w:r w:rsidRPr="00AD6E93">
        <w:rPr>
          <w:rFonts w:ascii="Verdana" w:hAnsi="Verdana" w:cs="TTE294CA20t00"/>
          <w:sz w:val="19"/>
          <w:szCs w:val="19"/>
        </w:rPr>
        <w:t xml:space="preserve"> </w:t>
      </w:r>
      <w:r w:rsidR="0056643D">
        <w:rPr>
          <w:rFonts w:ascii="Verdana" w:hAnsi="Verdana" w:cs="TTE294CA20t00"/>
          <w:sz w:val="19"/>
          <w:szCs w:val="19"/>
        </w:rPr>
        <w:t>d</w:t>
      </w:r>
      <w:r w:rsidRPr="00AD6E93">
        <w:rPr>
          <w:rFonts w:ascii="Verdana" w:hAnsi="Verdana" w:cs="TTE294CA20t00"/>
          <w:sz w:val="19"/>
          <w:szCs w:val="19"/>
        </w:rPr>
        <w:t>et er samtidig begrænse</w:t>
      </w:r>
      <w:r w:rsidR="0056643D">
        <w:rPr>
          <w:rFonts w:ascii="Verdana" w:hAnsi="Verdana" w:cs="TTE294CA20t00"/>
          <w:sz w:val="19"/>
          <w:szCs w:val="19"/>
        </w:rPr>
        <w:t>t, hvor store motorer, der kan placeres i denne type</w:t>
      </w:r>
      <w:r w:rsidRPr="00AD6E93">
        <w:rPr>
          <w:rFonts w:ascii="Verdana" w:hAnsi="Verdana" w:cs="TTE294CA20t00"/>
          <w:sz w:val="19"/>
          <w:szCs w:val="19"/>
        </w:rPr>
        <w:t xml:space="preserve"> lastbiler. Desuden vil de</w:t>
      </w:r>
      <w:r w:rsidR="008713D7">
        <w:rPr>
          <w:rFonts w:ascii="Verdana" w:hAnsi="Verdana" w:cs="TTE294CA20t00"/>
          <w:sz w:val="19"/>
          <w:szCs w:val="19"/>
        </w:rPr>
        <w:t>n lavere førerposition</w:t>
      </w:r>
      <w:r w:rsidRPr="00AD6E93">
        <w:rPr>
          <w:rFonts w:ascii="Verdana" w:hAnsi="Verdana" w:cs="TTE294CA20t00"/>
          <w:sz w:val="19"/>
          <w:szCs w:val="19"/>
        </w:rPr>
        <w:t xml:space="preserve"> </w:t>
      </w:r>
      <w:r w:rsidR="008713D7">
        <w:rPr>
          <w:rFonts w:ascii="Verdana" w:hAnsi="Verdana" w:cs="TTE294CA20t00"/>
          <w:sz w:val="19"/>
          <w:szCs w:val="19"/>
        </w:rPr>
        <w:t>give føreren mindre overblik fremad og yde</w:t>
      </w:r>
      <w:r w:rsidRPr="00AD6E93">
        <w:rPr>
          <w:rFonts w:ascii="Verdana" w:hAnsi="Verdana" w:cs="TTE294CA20t00"/>
          <w:sz w:val="19"/>
          <w:szCs w:val="19"/>
        </w:rPr>
        <w:t xml:space="preserve"> mindre beskyttelse i tilfælde af uheld. </w:t>
      </w:r>
    </w:p>
    <w:p w:rsidR="00922B8E" w:rsidRDefault="00922B8E">
      <w:pPr>
        <w:pStyle w:val="Brevnormal"/>
        <w:rPr>
          <w:szCs w:val="19"/>
        </w:rPr>
      </w:pPr>
    </w:p>
    <w:p w:rsidR="00B74A5E" w:rsidRDefault="00B74A5E">
      <w:pPr>
        <w:pStyle w:val="Brevnormal"/>
        <w:rPr>
          <w:szCs w:val="19"/>
        </w:rPr>
      </w:pPr>
      <w:r>
        <w:rPr>
          <w:szCs w:val="19"/>
        </w:rPr>
        <w:t>Der er igangsat – og foreslået – en lang række lovende tiltag</w:t>
      </w:r>
      <w:r w:rsidR="009F46E1">
        <w:rPr>
          <w:szCs w:val="19"/>
        </w:rPr>
        <w:t xml:space="preserve"> både i </w:t>
      </w:r>
      <w:proofErr w:type="spellStart"/>
      <w:r w:rsidR="009F46E1">
        <w:rPr>
          <w:szCs w:val="19"/>
        </w:rPr>
        <w:t>ind-</w:t>
      </w:r>
      <w:proofErr w:type="spellEnd"/>
      <w:r w:rsidR="009F46E1">
        <w:rPr>
          <w:szCs w:val="19"/>
        </w:rPr>
        <w:t xml:space="preserve"> og udlandet,</w:t>
      </w:r>
      <w:r w:rsidR="001D4808">
        <w:rPr>
          <w:szCs w:val="19"/>
        </w:rPr>
        <w:t xml:space="preserve"> som </w:t>
      </w:r>
      <w:r w:rsidR="00563FD1">
        <w:rPr>
          <w:szCs w:val="19"/>
        </w:rPr>
        <w:t xml:space="preserve">efter </w:t>
      </w:r>
      <w:proofErr w:type="spellStart"/>
      <w:r w:rsidR="00563FD1">
        <w:rPr>
          <w:szCs w:val="19"/>
        </w:rPr>
        <w:t>ITD’s</w:t>
      </w:r>
      <w:proofErr w:type="spellEnd"/>
      <w:r w:rsidR="00563FD1">
        <w:rPr>
          <w:szCs w:val="19"/>
        </w:rPr>
        <w:t xml:space="preserve"> opfattelse</w:t>
      </w:r>
      <w:r w:rsidR="001D4808">
        <w:rPr>
          <w:szCs w:val="19"/>
        </w:rPr>
        <w:t xml:space="preserve"> bør evalueres</w:t>
      </w:r>
      <w:r w:rsidR="00990FA3">
        <w:rPr>
          <w:szCs w:val="19"/>
        </w:rPr>
        <w:t>,</w:t>
      </w:r>
      <w:r w:rsidR="001D4808">
        <w:rPr>
          <w:szCs w:val="19"/>
        </w:rPr>
        <w:t xml:space="preserve"> inden der endnu engang </w:t>
      </w:r>
      <w:r w:rsidR="008713D7">
        <w:rPr>
          <w:szCs w:val="19"/>
        </w:rPr>
        <w:t>pålægges branchen</w:t>
      </w:r>
      <w:r>
        <w:rPr>
          <w:szCs w:val="19"/>
        </w:rPr>
        <w:t xml:space="preserve"> at investere i nyt teknisk udstyr</w:t>
      </w:r>
      <w:r w:rsidR="008713D7">
        <w:rPr>
          <w:szCs w:val="19"/>
        </w:rPr>
        <w:t>, hvis effekt ikke kan dokumenteres</w:t>
      </w:r>
      <w:r w:rsidR="001D4808">
        <w:rPr>
          <w:szCs w:val="19"/>
        </w:rPr>
        <w:t>. Sammen med en mere dybdegående analyse af højresvingsulykkerne vil</w:t>
      </w:r>
      <w:r w:rsidR="00AB7FA0">
        <w:rPr>
          <w:szCs w:val="19"/>
        </w:rPr>
        <w:t xml:space="preserve"> det kunne være med til at målrette</w:t>
      </w:r>
      <w:r w:rsidR="001D4808">
        <w:rPr>
          <w:szCs w:val="19"/>
        </w:rPr>
        <w:t xml:space="preserve"> forebyggelsesindsatsen</w:t>
      </w:r>
      <w:r w:rsidR="00AB7FA0">
        <w:rPr>
          <w:szCs w:val="19"/>
        </w:rPr>
        <w:t xml:space="preserve"> yderligere og sikre mest trafiksikkerhed for pengene</w:t>
      </w:r>
      <w:r w:rsidR="001D4808">
        <w:rPr>
          <w:szCs w:val="19"/>
        </w:rPr>
        <w:t xml:space="preserve">. </w:t>
      </w:r>
    </w:p>
    <w:p w:rsidR="00922B8E" w:rsidRPr="00AD6E93" w:rsidRDefault="00922B8E">
      <w:pPr>
        <w:pStyle w:val="Brevnormal"/>
        <w:rPr>
          <w:szCs w:val="19"/>
        </w:rPr>
      </w:pPr>
    </w:p>
    <w:p w:rsidR="00431BB3" w:rsidRDefault="00431BB3">
      <w:pPr>
        <w:pStyle w:val="Brevnormal"/>
      </w:pPr>
      <w:r>
        <w:t>ITD står gerne til rådighed for en uddybning af ovenstående.</w:t>
      </w:r>
    </w:p>
    <w:p w:rsidR="00431BB3" w:rsidRDefault="00431BB3">
      <w:pPr>
        <w:pStyle w:val="Brevnormal"/>
      </w:pPr>
    </w:p>
    <w:p w:rsidR="00431BB3" w:rsidRPr="00AD6E93" w:rsidRDefault="00431BB3">
      <w:pPr>
        <w:pStyle w:val="Brevnormal"/>
      </w:pPr>
    </w:p>
    <w:p w:rsidR="00922B8E" w:rsidRPr="00AD6E93" w:rsidRDefault="00922B8E">
      <w:pPr>
        <w:pStyle w:val="Brevnormal"/>
      </w:pPr>
    </w:p>
    <w:p w:rsidR="00922B8E" w:rsidRPr="00AD6E93" w:rsidRDefault="00922B8E">
      <w:pPr>
        <w:pStyle w:val="Brevnormal"/>
      </w:pPr>
      <w:bookmarkStart w:id="10" w:name="MedVenligHilsenTekst"/>
      <w:r w:rsidRPr="00AD6E93">
        <w:t>Med venlig hilsen</w:t>
      </w:r>
      <w:bookmarkEnd w:id="10"/>
    </w:p>
    <w:p w:rsidR="00922B8E" w:rsidRPr="00AD6E93" w:rsidRDefault="00922B8E">
      <w:pPr>
        <w:pStyle w:val="Brevnormal"/>
      </w:pPr>
    </w:p>
    <w:p w:rsidR="00922B8E" w:rsidRPr="00AD6E93" w:rsidRDefault="00922B8E">
      <w:pPr>
        <w:pStyle w:val="Brevnormal"/>
        <w:outlineLvl w:val="0"/>
      </w:pPr>
      <w:bookmarkStart w:id="11" w:name="DTLTekst"/>
      <w:r w:rsidRPr="00AD6E93">
        <w:t>ITD</w:t>
      </w:r>
      <w:bookmarkEnd w:id="11"/>
      <w:r w:rsidR="00BC3AF1">
        <w:t xml:space="preserve"> – International Transport Danmark</w:t>
      </w:r>
    </w:p>
    <w:p w:rsidR="00922B8E" w:rsidRDefault="009F46E1">
      <w:pPr>
        <w:pStyle w:val="Brevnormal"/>
        <w:outlineLvl w:val="0"/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2622471</wp:posOffset>
            </wp:positionH>
            <wp:positionV relativeFrom="paragraph">
              <wp:posOffset>54807</wp:posOffset>
            </wp:positionV>
            <wp:extent cx="1316136" cy="678839"/>
            <wp:effectExtent l="19050" t="0" r="0" b="0"/>
            <wp:wrapNone/>
            <wp:docPr id="2" name="Billede 1" descr="Underskrift m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derskrift maf.jpg"/>
                    <pic:cNvPicPr/>
                  </pic:nvPicPr>
                  <pic:blipFill>
                    <a:blip r:embed="rId8">
                      <a:lum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9" cy="67993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3AF1" w:rsidRDefault="00BC3AF1">
      <w:pPr>
        <w:pStyle w:val="Brevnormal"/>
        <w:outlineLvl w:val="0"/>
      </w:pPr>
    </w:p>
    <w:p w:rsidR="00BC3AF1" w:rsidRPr="00AD6E93" w:rsidRDefault="00BC3AF1">
      <w:pPr>
        <w:pStyle w:val="Brevnormal"/>
        <w:outlineLvl w:val="0"/>
      </w:pPr>
      <w:r>
        <w:rPr>
          <w:noProof/>
          <w:lang w:eastAsia="da-DK"/>
        </w:rPr>
        <w:drawing>
          <wp:inline distT="0" distB="0" distL="0" distR="0">
            <wp:extent cx="1243051" cy="331774"/>
            <wp:effectExtent l="19050" t="0" r="0" b="0"/>
            <wp:docPr id="1" name="Billede 0" descr="Underskrif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derskrift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1432" cy="334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B8E" w:rsidRDefault="00BC3AF1">
      <w:pPr>
        <w:pStyle w:val="Brevnormal"/>
        <w:outlineLvl w:val="0"/>
      </w:pPr>
      <w:r>
        <w:t>Jørn-Henrik Carstens</w:t>
      </w:r>
      <w:r w:rsidR="009F46E1">
        <w:tab/>
      </w:r>
      <w:r w:rsidR="009F46E1">
        <w:tab/>
      </w:r>
      <w:r w:rsidR="009F46E1">
        <w:tab/>
      </w:r>
      <w:r w:rsidR="009F46E1">
        <w:tab/>
        <w:t>Marianne Frank</w:t>
      </w:r>
    </w:p>
    <w:p w:rsidR="00BC3AF1" w:rsidRPr="00AD6E93" w:rsidRDefault="00BC3AF1">
      <w:pPr>
        <w:pStyle w:val="Brevnormal"/>
        <w:outlineLvl w:val="0"/>
      </w:pPr>
      <w:r>
        <w:t>Teknisk konsulent</w:t>
      </w:r>
      <w:r w:rsidR="009F46E1">
        <w:tab/>
      </w:r>
      <w:r w:rsidR="009F46E1">
        <w:tab/>
      </w:r>
      <w:r w:rsidR="009F46E1">
        <w:tab/>
      </w:r>
      <w:r w:rsidR="009F46E1">
        <w:tab/>
        <w:t>Miljøkonsulent</w:t>
      </w:r>
    </w:p>
    <w:p w:rsidR="00922B8E" w:rsidRPr="00AD6E93" w:rsidRDefault="00922B8E">
      <w:pPr>
        <w:pStyle w:val="Brevnormal"/>
        <w:outlineLvl w:val="0"/>
      </w:pPr>
    </w:p>
    <w:p w:rsidR="00922B8E" w:rsidRPr="00AD6E93" w:rsidRDefault="00922B8E">
      <w:pPr>
        <w:pStyle w:val="Brevnormal"/>
        <w:outlineLvl w:val="0"/>
      </w:pPr>
      <w:bookmarkStart w:id="12" w:name="UnderskriverFelt"/>
      <w:bookmarkEnd w:id="12"/>
    </w:p>
    <w:sectPr w:rsidR="00922B8E" w:rsidRPr="00AD6E93" w:rsidSect="00E70B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2552" w:right="851" w:bottom="2268" w:left="1418" w:header="1134" w:footer="1247" w:gutter="0"/>
      <w:paperSrc w:first="2" w:other="1"/>
      <w:cols w:space="708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AF6" w:rsidRDefault="00D06AF6">
      <w:r>
        <w:separator/>
      </w:r>
    </w:p>
  </w:endnote>
  <w:endnote w:type="continuationSeparator" w:id="1">
    <w:p w:rsidR="00D06AF6" w:rsidRDefault="00D06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TE29092B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94CA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AF6" w:rsidRDefault="00492CD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D06AF6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D06AF6">
      <w:rPr>
        <w:rStyle w:val="Sidetal"/>
        <w:noProof/>
      </w:rPr>
      <w:t>1</w:t>
    </w:r>
    <w:r>
      <w:rPr>
        <w:rStyle w:val="Sidetal"/>
      </w:rPr>
      <w:fldChar w:fldCharType="end"/>
    </w:r>
  </w:p>
  <w:p w:rsidR="00D06AF6" w:rsidRDefault="00D06AF6">
    <w:pPr>
      <w:pStyle w:val="Sidefo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AF6" w:rsidRDefault="00492CD3">
    <w:pPr>
      <w:pStyle w:val="Sidefod"/>
      <w:jc w:val="center"/>
    </w:pPr>
    <w:r>
      <w:fldChar w:fldCharType="begin"/>
    </w:r>
    <w:r w:rsidR="00D06AF6">
      <w:instrText xml:space="preserve"> IF </w:instrText>
    </w:r>
    <w:fldSimple w:instr=" PAGE ">
      <w:r w:rsidR="00D03D82">
        <w:rPr>
          <w:noProof/>
        </w:rPr>
        <w:instrText>3</w:instrText>
      </w:r>
    </w:fldSimple>
    <w:r w:rsidR="00D06AF6">
      <w:instrText>&lt;</w:instrText>
    </w:r>
    <w:fldSimple w:instr=" NUMPAGES ">
      <w:r w:rsidR="00D03D82">
        <w:rPr>
          <w:noProof/>
        </w:rPr>
        <w:instrText>3</w:instrText>
      </w:r>
    </w:fldSimple>
    <w:r w:rsidR="00D06AF6">
      <w:instrText xml:space="preserve"> "</w:instrText>
    </w:r>
    <w:r>
      <w:fldChar w:fldCharType="begin"/>
    </w:r>
    <w:r w:rsidR="00D06AF6">
      <w:instrText xml:space="preserve"> = </w:instrText>
    </w:r>
    <w:fldSimple w:instr=" PAGE ">
      <w:r w:rsidR="00D06AF6">
        <w:rPr>
          <w:noProof/>
        </w:rPr>
        <w:instrText>2</w:instrText>
      </w:r>
    </w:fldSimple>
    <w:r w:rsidR="00D06AF6">
      <w:instrText xml:space="preserve"> + 1 </w:instrText>
    </w:r>
    <w:r>
      <w:fldChar w:fldCharType="separate"/>
    </w:r>
    <w:r w:rsidR="00D06AF6">
      <w:rPr>
        <w:noProof/>
      </w:rPr>
      <w:instrText>3</w:instrText>
    </w:r>
    <w:r>
      <w:fldChar w:fldCharType="separate"/>
    </w:r>
    <w:r>
      <w:t/>
    </w:r>
    <w:r>
      <w:fldChar w:fldCharType="end"/>
    </w:r>
    <w:r w:rsidR="00D06AF6">
      <w:instrText xml:space="preserve">…" "" </w:instrTex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AF6" w:rsidRDefault="00492CD3">
    <w:pPr>
      <w:pStyle w:val="Sidefod"/>
      <w:jc w:val="center"/>
    </w:pPr>
    <w:r>
      <w:fldChar w:fldCharType="begin"/>
    </w:r>
    <w:r w:rsidR="00D06AF6">
      <w:instrText xml:space="preserve"> IF </w:instrText>
    </w:r>
    <w:fldSimple w:instr=" PAGE ">
      <w:r w:rsidR="00D03D82">
        <w:rPr>
          <w:noProof/>
        </w:rPr>
        <w:instrText>1</w:instrText>
      </w:r>
    </w:fldSimple>
    <w:r w:rsidR="00D06AF6">
      <w:instrText>&lt;</w:instrText>
    </w:r>
    <w:fldSimple w:instr=" NUMPAGES ">
      <w:r w:rsidR="00D03D82">
        <w:rPr>
          <w:noProof/>
        </w:rPr>
        <w:instrText>3</w:instrText>
      </w:r>
    </w:fldSimple>
    <w:r w:rsidR="00D06AF6">
      <w:instrText xml:space="preserve"> "</w:instrText>
    </w:r>
    <w:r>
      <w:fldChar w:fldCharType="begin"/>
    </w:r>
    <w:r w:rsidR="00D06AF6">
      <w:instrText xml:space="preserve"> = </w:instrText>
    </w:r>
    <w:fldSimple w:instr=" PAGE ">
      <w:r w:rsidR="00D03D82">
        <w:rPr>
          <w:noProof/>
        </w:rPr>
        <w:instrText>1</w:instrText>
      </w:r>
    </w:fldSimple>
    <w:r w:rsidR="00D06AF6">
      <w:instrText xml:space="preserve"> + 1 </w:instrText>
    </w:r>
    <w:r>
      <w:fldChar w:fldCharType="separate"/>
    </w:r>
    <w:r w:rsidR="00D03D82">
      <w:rPr>
        <w:noProof/>
      </w:rPr>
      <w:instrText>2</w:instrText>
    </w:r>
    <w:r>
      <w:fldChar w:fldCharType="separate"/>
    </w:r>
    <w:r>
      <w:t/>
    </w:r>
    <w:r>
      <w:fldChar w:fldCharType="end"/>
    </w:r>
    <w:r w:rsidR="00D06AF6">
      <w:instrText xml:space="preserve">…" "" </w:instrText>
    </w:r>
    <w:r w:rsidR="00D03D82">
      <w:fldChar w:fldCharType="separate"/>
    </w:r>
    <w:r w:rsidR="00D03D82">
      <w:rPr>
        <w:noProof/>
      </w:rPr>
      <w:t>2…</w:t>
    </w:r>
    <w:r>
      <w:fldChar w:fldCharType="end"/>
    </w:r>
  </w:p>
  <w:p w:rsidR="00D06AF6" w:rsidRDefault="00D06AF6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AF6" w:rsidRDefault="00D06AF6">
      <w:r>
        <w:separator/>
      </w:r>
    </w:p>
  </w:footnote>
  <w:footnote w:type="continuationSeparator" w:id="1">
    <w:p w:rsidR="00D06AF6" w:rsidRDefault="00D06A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AF6" w:rsidRDefault="00D06AF6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AF6" w:rsidRDefault="00492CD3">
    <w:pPr>
      <w:pStyle w:val="Sidehoved"/>
      <w:jc w:val="center"/>
      <w:rPr>
        <w:rStyle w:val="Sidetal"/>
      </w:rPr>
    </w:pPr>
    <w:r>
      <w:rPr>
        <w:rStyle w:val="Sidetal"/>
      </w:rPr>
      <w:fldChar w:fldCharType="begin"/>
    </w:r>
    <w:r w:rsidR="00D06AF6"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D03D82">
      <w:rPr>
        <w:rStyle w:val="Sidetal"/>
        <w:noProof/>
      </w:rPr>
      <w:t>3</w:t>
    </w:r>
    <w:r>
      <w:rPr>
        <w:rStyle w:val="Sidetal"/>
      </w:rPr>
      <w:fldChar w:fldCharType="end"/>
    </w:r>
    <w:r w:rsidR="00D06AF6">
      <w:rPr>
        <w:rStyle w:val="Sidetal"/>
      </w:rPr>
      <w:t>.</w:t>
    </w:r>
  </w:p>
  <w:p w:rsidR="00D06AF6" w:rsidRDefault="00D06AF6">
    <w:pPr>
      <w:pStyle w:val="Sidehoved"/>
    </w:pPr>
    <w:r>
      <w:rPr>
        <w:noProof/>
        <w:sz w:val="20"/>
        <w:lang w:eastAsia="da-DK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5051425</wp:posOffset>
          </wp:positionH>
          <wp:positionV relativeFrom="page">
            <wp:posOffset>342900</wp:posOffset>
          </wp:positionV>
          <wp:extent cx="1266825" cy="577850"/>
          <wp:effectExtent l="19050" t="0" r="9525" b="0"/>
          <wp:wrapNone/>
          <wp:docPr id="8" name="Billede 8" descr="itdlogosid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tdlogosid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AF6" w:rsidRDefault="00492CD3">
    <w:pPr>
      <w:pStyle w:val="Sidehoved"/>
    </w:pPr>
    <w:r w:rsidRPr="00492CD3">
      <w:rPr>
        <w:noProof/>
        <w:sz w:val="20"/>
        <w:lang w:val="en-US"/>
      </w:rPr>
      <w:pict>
        <v:group id="_x0000_s2052" style="position:absolute;left:0;text-align:left;margin-left:237.8pt;margin-top:-29.85pt;width:267pt;height:174.4pt;z-index:251657216" coordorigin="6174,537" coordsize="5340,3488" wrapcoords="-61 0 -61 21507 21600 21507 21600 0 -61 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6174;top:537;width:5340;height:3488;mso-wrap-edited:f" wrapcoords="-53 0 -53 21515 21600 21515 21600 0 -53 0">
            <v:imagedata r:id="rId1" o:title="itdlogoside1_u_teks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7158;top:1655;width:2509;height:1596;mso-wrap-edited:f" wrapcoords="-58 0 -58 21600 21658 21600 21658 0 -58 0" filled="f" stroked="f">
            <v:textbox style="mso-next-textbox:#_x0000_s2054">
              <w:txbxContent>
                <w:p w:rsidR="00D06AF6" w:rsidRDefault="00D06AF6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Lyren 1</w:t>
                  </w:r>
                </w:p>
                <w:p w:rsidR="00D06AF6" w:rsidRDefault="00D06AF6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DK-6330 Padborg</w:t>
                  </w:r>
                </w:p>
                <w:p w:rsidR="00D06AF6" w:rsidRDefault="00D06AF6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Telefon: +45 74 67 12 33</w:t>
                  </w:r>
                </w:p>
                <w:p w:rsidR="00D06AF6" w:rsidRDefault="00D06AF6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Telefax: +45 74 67 43 17</w:t>
                  </w:r>
                </w:p>
                <w:p w:rsidR="00D06AF6" w:rsidRDefault="00D06AF6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Internet: www.itd.dk</w:t>
                  </w:r>
                </w:p>
                <w:p w:rsidR="00D06AF6" w:rsidRDefault="00D06AF6">
                  <w:pPr>
                    <w:jc w:val="right"/>
                    <w:rPr>
                      <w:rFonts w:ascii="Arial" w:hAnsi="Arial" w:cs="Arial"/>
                      <w:sz w:val="18"/>
                      <w:lang w:val="it-IT"/>
                    </w:rPr>
                  </w:pPr>
                  <w:r>
                    <w:rPr>
                      <w:rFonts w:ascii="Arial" w:hAnsi="Arial" w:cs="Arial"/>
                      <w:sz w:val="18"/>
                      <w:lang w:val="it-IT"/>
                    </w:rPr>
                    <w:t>e-mail: itd@itd.dk</w:t>
                  </w:r>
                </w:p>
                <w:p w:rsidR="00D06AF6" w:rsidRDefault="00D06AF6">
                  <w:pPr>
                    <w:jc w:val="right"/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sz w:val="18"/>
                      <w:lang w:val="it-IT"/>
                    </w:rPr>
                    <w:t>Giro 110-1978</w:t>
                  </w:r>
                </w:p>
              </w:txbxContent>
            </v:textbox>
          </v:shape>
          <w10:wrap type="through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616C8"/>
    <w:multiLevelType w:val="hybridMultilevel"/>
    <w:tmpl w:val="A0CE775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attachedTemplate r:id="rId1"/>
  <w:stylePaneFormatFilter w:val="3F01"/>
  <w:defaultTabStop w:val="720"/>
  <w:hyphenationZone w:val="425"/>
  <w:doNotHyphenateCaps/>
  <w:drawingGridHorizontalSpacing w:val="95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C1642"/>
    <w:rsid w:val="0003064B"/>
    <w:rsid w:val="00071DE5"/>
    <w:rsid w:val="000841CF"/>
    <w:rsid w:val="0009013A"/>
    <w:rsid w:val="000A34D8"/>
    <w:rsid w:val="000A535D"/>
    <w:rsid w:val="000C5219"/>
    <w:rsid w:val="000F5698"/>
    <w:rsid w:val="00132A54"/>
    <w:rsid w:val="001A23D2"/>
    <w:rsid w:val="001A612B"/>
    <w:rsid w:val="001C70AB"/>
    <w:rsid w:val="001C741A"/>
    <w:rsid w:val="001D4808"/>
    <w:rsid w:val="001F2BEF"/>
    <w:rsid w:val="002001D7"/>
    <w:rsid w:val="002254B6"/>
    <w:rsid w:val="00255AC7"/>
    <w:rsid w:val="0028006E"/>
    <w:rsid w:val="002838B1"/>
    <w:rsid w:val="0029621B"/>
    <w:rsid w:val="002E1511"/>
    <w:rsid w:val="002F0FDF"/>
    <w:rsid w:val="00314F23"/>
    <w:rsid w:val="00320479"/>
    <w:rsid w:val="00321D5F"/>
    <w:rsid w:val="00342053"/>
    <w:rsid w:val="00343822"/>
    <w:rsid w:val="00345AAB"/>
    <w:rsid w:val="00346EC9"/>
    <w:rsid w:val="00362784"/>
    <w:rsid w:val="003664AF"/>
    <w:rsid w:val="00372003"/>
    <w:rsid w:val="00382065"/>
    <w:rsid w:val="003A04D9"/>
    <w:rsid w:val="003B08DD"/>
    <w:rsid w:val="003B0EEC"/>
    <w:rsid w:val="003B5944"/>
    <w:rsid w:val="003C69DF"/>
    <w:rsid w:val="003D241A"/>
    <w:rsid w:val="003F130E"/>
    <w:rsid w:val="00410C01"/>
    <w:rsid w:val="00431BB3"/>
    <w:rsid w:val="00467DE4"/>
    <w:rsid w:val="00492CD3"/>
    <w:rsid w:val="004C40E0"/>
    <w:rsid w:val="004C5159"/>
    <w:rsid w:val="004E2D2D"/>
    <w:rsid w:val="004F1B51"/>
    <w:rsid w:val="00510903"/>
    <w:rsid w:val="00536F40"/>
    <w:rsid w:val="00537A9B"/>
    <w:rsid w:val="0054052A"/>
    <w:rsid w:val="005479DC"/>
    <w:rsid w:val="00561D28"/>
    <w:rsid w:val="00563FD1"/>
    <w:rsid w:val="00565ACE"/>
    <w:rsid w:val="0056643D"/>
    <w:rsid w:val="005A06BD"/>
    <w:rsid w:val="005C356E"/>
    <w:rsid w:val="005E6475"/>
    <w:rsid w:val="00607FA2"/>
    <w:rsid w:val="00637336"/>
    <w:rsid w:val="00643082"/>
    <w:rsid w:val="00652952"/>
    <w:rsid w:val="0068552A"/>
    <w:rsid w:val="00695CE5"/>
    <w:rsid w:val="006A0441"/>
    <w:rsid w:val="006A1142"/>
    <w:rsid w:val="00706BAC"/>
    <w:rsid w:val="0071511B"/>
    <w:rsid w:val="00715CF3"/>
    <w:rsid w:val="00761594"/>
    <w:rsid w:val="00776FEA"/>
    <w:rsid w:val="00783E0C"/>
    <w:rsid w:val="00795544"/>
    <w:rsid w:val="007B2EEB"/>
    <w:rsid w:val="008012AF"/>
    <w:rsid w:val="008713D7"/>
    <w:rsid w:val="008814F5"/>
    <w:rsid w:val="008C17E6"/>
    <w:rsid w:val="008C4419"/>
    <w:rsid w:val="008E1244"/>
    <w:rsid w:val="008E46E2"/>
    <w:rsid w:val="008F082C"/>
    <w:rsid w:val="00900BCC"/>
    <w:rsid w:val="009129A5"/>
    <w:rsid w:val="00922B8E"/>
    <w:rsid w:val="00922EC3"/>
    <w:rsid w:val="00984147"/>
    <w:rsid w:val="00990FA3"/>
    <w:rsid w:val="0099111F"/>
    <w:rsid w:val="009B009D"/>
    <w:rsid w:val="009B71E7"/>
    <w:rsid w:val="009F3FB4"/>
    <w:rsid w:val="009F46E1"/>
    <w:rsid w:val="009F583D"/>
    <w:rsid w:val="009F7F66"/>
    <w:rsid w:val="00A162A8"/>
    <w:rsid w:val="00A25E81"/>
    <w:rsid w:val="00A608A7"/>
    <w:rsid w:val="00A6344E"/>
    <w:rsid w:val="00AB3CDC"/>
    <w:rsid w:val="00AB4A5F"/>
    <w:rsid w:val="00AB5841"/>
    <w:rsid w:val="00AB7FA0"/>
    <w:rsid w:val="00AD10F8"/>
    <w:rsid w:val="00AD2312"/>
    <w:rsid w:val="00AD6E93"/>
    <w:rsid w:val="00AE2052"/>
    <w:rsid w:val="00B04BBC"/>
    <w:rsid w:val="00B10BDC"/>
    <w:rsid w:val="00B41436"/>
    <w:rsid w:val="00B6456C"/>
    <w:rsid w:val="00B72712"/>
    <w:rsid w:val="00B74A5E"/>
    <w:rsid w:val="00B96612"/>
    <w:rsid w:val="00BA75B5"/>
    <w:rsid w:val="00BC1642"/>
    <w:rsid w:val="00BC3AF1"/>
    <w:rsid w:val="00BC48A4"/>
    <w:rsid w:val="00BD08E9"/>
    <w:rsid w:val="00BD5144"/>
    <w:rsid w:val="00BF5101"/>
    <w:rsid w:val="00C30B17"/>
    <w:rsid w:val="00C374BD"/>
    <w:rsid w:val="00C43388"/>
    <w:rsid w:val="00C46CC1"/>
    <w:rsid w:val="00C70960"/>
    <w:rsid w:val="00C85034"/>
    <w:rsid w:val="00C90542"/>
    <w:rsid w:val="00C94B77"/>
    <w:rsid w:val="00CA220A"/>
    <w:rsid w:val="00CD1375"/>
    <w:rsid w:val="00D03D82"/>
    <w:rsid w:val="00D06AF6"/>
    <w:rsid w:val="00D21398"/>
    <w:rsid w:val="00D32DD7"/>
    <w:rsid w:val="00D33A21"/>
    <w:rsid w:val="00D341C8"/>
    <w:rsid w:val="00D34FE0"/>
    <w:rsid w:val="00D50A8B"/>
    <w:rsid w:val="00D56782"/>
    <w:rsid w:val="00D63923"/>
    <w:rsid w:val="00D81012"/>
    <w:rsid w:val="00D85853"/>
    <w:rsid w:val="00DD4C56"/>
    <w:rsid w:val="00DE6766"/>
    <w:rsid w:val="00E11F4B"/>
    <w:rsid w:val="00E13BA1"/>
    <w:rsid w:val="00E2348F"/>
    <w:rsid w:val="00E2642F"/>
    <w:rsid w:val="00E70B46"/>
    <w:rsid w:val="00ED1A4F"/>
    <w:rsid w:val="00F1446E"/>
    <w:rsid w:val="00F27D67"/>
    <w:rsid w:val="00F667C0"/>
    <w:rsid w:val="00F66A76"/>
    <w:rsid w:val="00F76EFB"/>
    <w:rsid w:val="00F8217D"/>
    <w:rsid w:val="00F8316A"/>
    <w:rsid w:val="00F956F1"/>
    <w:rsid w:val="00FA0CDF"/>
    <w:rsid w:val="00FA6D56"/>
    <w:rsid w:val="00FA70D6"/>
    <w:rsid w:val="00FC3005"/>
    <w:rsid w:val="00FE0D13"/>
    <w:rsid w:val="00FE29CF"/>
    <w:rsid w:val="00FF036B"/>
    <w:rsid w:val="00FF2874"/>
    <w:rsid w:val="00FF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4C56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E70B46"/>
    <w:pPr>
      <w:tabs>
        <w:tab w:val="center" w:pos="4153"/>
        <w:tab w:val="right" w:pos="8306"/>
      </w:tabs>
      <w:jc w:val="right"/>
    </w:pPr>
    <w:rPr>
      <w:rFonts w:ascii="Verdana" w:hAnsi="Verdana"/>
      <w:sz w:val="19"/>
      <w:szCs w:val="20"/>
      <w:lang w:eastAsia="en-US"/>
    </w:rPr>
  </w:style>
  <w:style w:type="paragraph" w:styleId="Sidefod">
    <w:name w:val="footer"/>
    <w:basedOn w:val="Normal"/>
    <w:rsid w:val="00E70B46"/>
    <w:pPr>
      <w:tabs>
        <w:tab w:val="center" w:pos="4153"/>
        <w:tab w:val="right" w:pos="8306"/>
      </w:tabs>
      <w:jc w:val="right"/>
    </w:pPr>
    <w:rPr>
      <w:rFonts w:ascii="Verdana" w:hAnsi="Verdana"/>
      <w:sz w:val="19"/>
      <w:szCs w:val="20"/>
      <w:lang w:eastAsia="en-US"/>
    </w:rPr>
  </w:style>
  <w:style w:type="character" w:styleId="Sidetal">
    <w:name w:val="page number"/>
    <w:basedOn w:val="Standardskrifttypeiafsnit"/>
    <w:rsid w:val="00E70B46"/>
    <w:rPr>
      <w:rFonts w:ascii="Verdana" w:hAnsi="Verdana"/>
      <w:sz w:val="19"/>
    </w:rPr>
  </w:style>
  <w:style w:type="paragraph" w:customStyle="1" w:styleId="Brevnormal">
    <w:name w:val="Brev normal"/>
    <w:rsid w:val="00E70B46"/>
    <w:rPr>
      <w:rFonts w:ascii="Verdana" w:hAnsi="Verdana"/>
      <w:sz w:val="19"/>
      <w:lang w:eastAsia="en-US"/>
    </w:rPr>
  </w:style>
  <w:style w:type="paragraph" w:customStyle="1" w:styleId="Adresse">
    <w:name w:val="Adresse"/>
    <w:basedOn w:val="Brevnormal"/>
    <w:rsid w:val="00E70B46"/>
    <w:pPr>
      <w:ind w:right="2947"/>
    </w:pPr>
  </w:style>
  <w:style w:type="paragraph" w:customStyle="1" w:styleId="Information">
    <w:name w:val="Information"/>
    <w:basedOn w:val="Brevnormal"/>
    <w:next w:val="Brevnormal"/>
    <w:rsid w:val="00E70B46"/>
    <w:pPr>
      <w:tabs>
        <w:tab w:val="left" w:pos="-2268"/>
        <w:tab w:val="left" w:pos="2127"/>
        <w:tab w:val="left" w:pos="4253"/>
        <w:tab w:val="left" w:pos="6379"/>
      </w:tabs>
    </w:pPr>
    <w:rPr>
      <w:sz w:val="14"/>
    </w:rPr>
  </w:style>
  <w:style w:type="paragraph" w:customStyle="1" w:styleId="Vedrrende">
    <w:name w:val="Vedrørende"/>
    <w:basedOn w:val="Brevnormal"/>
    <w:next w:val="Brevnormal"/>
    <w:rsid w:val="00E70B46"/>
    <w:rPr>
      <w:b/>
    </w:rPr>
  </w:style>
  <w:style w:type="paragraph" w:customStyle="1" w:styleId="Vedrrendeindryk">
    <w:name w:val="Vedrørende indryk"/>
    <w:basedOn w:val="Vedrrende"/>
    <w:next w:val="Brevnormal"/>
    <w:rsid w:val="00E70B46"/>
    <w:pPr>
      <w:ind w:left="567" w:hanging="567"/>
    </w:pPr>
  </w:style>
  <w:style w:type="paragraph" w:customStyle="1" w:styleId="Vedlagt">
    <w:name w:val="Vedlagt"/>
    <w:basedOn w:val="Normal"/>
    <w:next w:val="Brevnormal"/>
    <w:rsid w:val="00E70B46"/>
    <w:pPr>
      <w:ind w:hanging="426"/>
    </w:pPr>
    <w:rPr>
      <w:rFonts w:ascii="Verdana" w:hAnsi="Verdana"/>
      <w:szCs w:val="20"/>
      <w:lang w:eastAsia="en-US"/>
    </w:rPr>
  </w:style>
  <w:style w:type="character" w:styleId="Fodnotehenvisning">
    <w:name w:val="footnote reference"/>
    <w:basedOn w:val="Standardskrifttypeiafsnit"/>
    <w:semiHidden/>
    <w:rsid w:val="00E70B46"/>
    <w:rPr>
      <w:vertAlign w:val="superscript"/>
    </w:rPr>
  </w:style>
  <w:style w:type="paragraph" w:styleId="Dokumentoversigt">
    <w:name w:val="Document Map"/>
    <w:basedOn w:val="Normal"/>
    <w:semiHidden/>
    <w:rsid w:val="00E70B46"/>
    <w:pPr>
      <w:shd w:val="clear" w:color="auto" w:fill="000080"/>
    </w:pPr>
    <w:rPr>
      <w:rFonts w:ascii="Tahoma" w:hAnsi="Tahoma"/>
    </w:rPr>
  </w:style>
  <w:style w:type="paragraph" w:styleId="Fodnotetekst">
    <w:name w:val="footnote text"/>
    <w:basedOn w:val="Normal"/>
    <w:semiHidden/>
    <w:rsid w:val="00E70B46"/>
    <w:rPr>
      <w:rFonts w:ascii="Verdana" w:hAnsi="Verdana"/>
      <w:szCs w:val="20"/>
      <w:lang w:eastAsia="en-US"/>
    </w:rPr>
  </w:style>
  <w:style w:type="paragraph" w:styleId="Listeafsnit">
    <w:name w:val="List Paragraph"/>
    <w:basedOn w:val="Normal"/>
    <w:uiPriority w:val="34"/>
    <w:qFormat/>
    <w:rsid w:val="00D341C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BC3AF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C3A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skabeloner\ITD\ITD%20eBrev%20side%201_2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76508-40B2-4B16-B9CB-FFE7F9CE3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ITD eBrev side 1_2</Template>
  <TotalTime>1530</TotalTime>
  <Pages>3</Pages>
  <Words>1032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Høringssvar FS318000833_Højresvingsulykker</vt:lpstr>
    </vt:vector>
  </TitlesOfParts>
  <Company>
  </Company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Høringssvar FS318000833_Højresvingsulykker</dc:title>
  <dc:subject>
  </dc:subject>
  <dc:creator>Marianne Frank</dc:creator>
  <cp:keywords>
  </cp:keywords>
  <dc:description>
  </dc:description>
  <cp:lastModifiedBy>Marianne Frank</cp:lastModifiedBy>
  <cp:revision>54</cp:revision>
  <cp:lastPrinted>2010-08-31T13:03:00Z</cp:lastPrinted>
  <dcterms:created xsi:type="dcterms:W3CDTF">2010-07-30T06:28:00Z</dcterms:created>
  <dcterms:modified xsi:type="dcterms:W3CDTF">2010-08-31T13:56:00Z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Version">
    <vt:lpwstr>2.12</vt:lpwstr>
  </property>
  <property fmtid="{D5CDD505-2E9C-101B-9397-08002B2CF9AE}" pid="3" name="UnderskriftsGruppe">
    <vt:lpwstr>12</vt:lpwstr>
  </property>
  <property fmtid="{D5CDD505-2E9C-101B-9397-08002B2CF9AE}" pid="4" name="Land">
    <vt:lpwstr>0</vt:lpwstr>
  </property>
  <property fmtid="{D5CDD505-2E9C-101B-9397-08002B2CF9AE}" pid="5" name="dokumentnummer">
    <vt:lpwstr>D-060810-6972</vt:lpwstr>
  </property>
  <property fmtid="{D5CDD505-2E9C-101B-9397-08002B2CF9AE}" pid="6" name="sagsnummer">
    <vt:lpwstr>S-230109-0296</vt:lpwstr>
  </property>
</Properties>
</file>